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2D" w:rsidRPr="008C4556" w:rsidRDefault="00BB6D87">
      <w:pPr>
        <w:pStyle w:val="1"/>
        <w:spacing w:before="150" w:beforeAutospacing="0" w:afterAutospacing="0" w:line="450" w:lineRule="atLeast"/>
        <w:jc w:val="center"/>
        <w:rPr>
          <w:rFonts w:hint="default"/>
          <w:sz w:val="44"/>
          <w:szCs w:val="44"/>
          <w:shd w:val="clear" w:color="auto" w:fill="FFFFFF"/>
        </w:rPr>
      </w:pPr>
      <w:r w:rsidRPr="008C4556">
        <w:rPr>
          <w:sz w:val="44"/>
          <w:szCs w:val="44"/>
          <w:shd w:val="clear" w:color="auto" w:fill="FFFFFF"/>
        </w:rPr>
        <w:t>中国海洋学会</w:t>
      </w:r>
      <w:bookmarkStart w:id="0" w:name="_GoBack"/>
      <w:bookmarkEnd w:id="0"/>
      <w:r w:rsidRPr="008C4556">
        <w:rPr>
          <w:sz w:val="44"/>
          <w:szCs w:val="44"/>
          <w:shd w:val="clear" w:color="auto" w:fill="FFFFFF"/>
        </w:rPr>
        <w:t>科技成果评价办法（暂行）</w:t>
      </w:r>
    </w:p>
    <w:p w:rsidR="00FF452D" w:rsidRPr="0069664D" w:rsidRDefault="00FF452D">
      <w:pPr>
        <w:rPr>
          <w:rFonts w:ascii="仿宋" w:eastAsia="仿宋" w:hAnsi="仿宋"/>
          <w:sz w:val="28"/>
          <w:szCs w:val="28"/>
        </w:rPr>
      </w:pPr>
    </w:p>
    <w:p w:rsidR="006A0331" w:rsidRPr="0069664D" w:rsidRDefault="00BB6D87" w:rsidP="006A0331">
      <w:pPr>
        <w:pStyle w:val="a3"/>
        <w:spacing w:line="24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第一条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为了规范科技成果评价活动，推进科技成果分类评价，促进科技成果评价的专业化、规范化和社会化，依据《中华人民共和国科学技术进步法》、《中华人民共和国促进科技成果转化法》、科技部《科学技术评价办法（试行）》、《科技评估管理暂行办法》及《科技成果评价试点工作方案》，制定本办法。</w:t>
      </w:r>
      <w:r w:rsidR="006A0331" w:rsidRPr="0069664D">
        <w:rPr>
          <w:rFonts w:ascii="仿宋" w:eastAsia="仿宋" w:hAnsi="仿宋" w:cs="宋体" w:hint="eastAsia"/>
          <w:sz w:val="28"/>
          <w:szCs w:val="28"/>
          <w:shd w:val="clear" w:color="auto" w:fill="FFFFFF"/>
        </w:rPr>
        <w:br/>
      </w:r>
      <w:r w:rsidRPr="0069664D">
        <w:rPr>
          <w:rFonts w:ascii="仿宋" w:eastAsia="仿宋" w:hAnsi="仿宋" w:cs="宋体" w:hint="eastAsia"/>
          <w:sz w:val="28"/>
          <w:szCs w:val="28"/>
          <w:shd w:val="clear" w:color="auto" w:fill="FFFFFF"/>
        </w:rPr>
        <w:t>第二条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本办法中科技成果是指由组织或个人完成的各类科学技术项目所产生的具有一定学术价值或应用价值，具备科学性、创造性、先进性等属性的新发现、新理论、新方法、新技术、新产品、新品种和新工艺等。</w:t>
      </w:r>
    </w:p>
    <w:p w:rsidR="006A0331" w:rsidRPr="0069664D" w:rsidRDefault="00BB6D87" w:rsidP="006A0331">
      <w:pPr>
        <w:pStyle w:val="a3"/>
        <w:spacing w:line="24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第三条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本办法中科技成果评价是指按照委托者的要求，</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聘请同行专家，坚持实事求是、科学民主、客观公正、注重质量、讲求实效的原则，依照规定的程序和标准，对被评价科技成果进行审查与辨别，对其科学性、创造性、先进性、可行性和应用前景等进行评价，并做出相应结论。对成果的知识产权不做评价。</w:t>
      </w:r>
    </w:p>
    <w:p w:rsidR="00FF452D" w:rsidRPr="0069664D" w:rsidRDefault="00BB6D87" w:rsidP="006A0331">
      <w:pPr>
        <w:pStyle w:val="a3"/>
        <w:spacing w:line="24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第四条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科技成果评价机构（简称评价机构）是指参加科技成果评价试点的具有科技成果评价业务能力，独立接受科技成果评价委托，有偿提供科技成果评价服务的社会中介服务机构和事业单位。</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第二章</w:t>
      </w:r>
      <w:r w:rsidR="006A0331"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成果评价范围和内容</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第五条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凡经试点地区、部门及行业协会（简称试点管理部门）确定范围内的单位或个人所研究开发的科技成果均可按本办法评价。</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第六条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本办法所指的科技成果评价主要针对技术开发类应用技术成果、社会公益类应用技术成果、软科学研究成果三种类型进行评价。</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应用技术成果主要指为提高生产力水平和促进社会公益事业而进行的科学研究、技术开发、后续试验和应用推广所产生的具有实用价值的新技术、新工艺、新材料、新设计、新产品及技术标准等，包括可以独立应用的阶段性研究成果和引进技术、设备的消化、吸收再创新的成果。应用技术成果又分为技术开发类应用技术成果和社会公益类应用技术成果。</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第七条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科技成果评价的主要内容是：</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（一）技术创新程度、技术指标先进程度；</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（二）技术难度和复杂程度；</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（三）成果的重现性和成熟程度；</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（四）成果应用价值与效果；</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（五）取得的经济效益与社会效益；</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（六）进一步推广的条件和前景；</w:t>
      </w:r>
    </w:p>
    <w:p w:rsidR="00FF452D" w:rsidRPr="0069664D" w:rsidRDefault="00BB6D87" w:rsidP="006A0331">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（七）存在的问题及改进意见。</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第三章</w:t>
      </w:r>
      <w:r w:rsidR="006A0331"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成果评价原则</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第八条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依法评价原则</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科技成果评价主要涉及科技成果评价委托方、评价机构及评价咨询专家三方面。有关各方应当遵循《科学技术评价办法(试行)》、《科技评估管理暂行办法》和本办法，遵守评价合同约定，履行义务，承担责任。发生争议时，根据合同法等法律、法规予以解决。</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第九条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独立、客观、公正原则</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独立原则</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科技成果评价活动依法独立进行，不受其他组织和个人的干预；评价机构独立地从事评价工作，评价咨询专家独立地</w:t>
      </w:r>
      <w:proofErr w:type="gramStart"/>
      <w:r w:rsidRPr="0069664D">
        <w:rPr>
          <w:rFonts w:ascii="仿宋" w:eastAsia="仿宋" w:hAnsi="仿宋" w:cs="宋体" w:hint="eastAsia"/>
          <w:sz w:val="28"/>
          <w:szCs w:val="28"/>
          <w:shd w:val="clear" w:color="auto" w:fill="FFFFFF"/>
        </w:rPr>
        <w:t>向评价</w:t>
      </w:r>
      <w:proofErr w:type="gramEnd"/>
      <w:r w:rsidRPr="0069664D">
        <w:rPr>
          <w:rFonts w:ascii="仿宋" w:eastAsia="仿宋" w:hAnsi="仿宋" w:cs="宋体" w:hint="eastAsia"/>
          <w:sz w:val="28"/>
          <w:szCs w:val="28"/>
          <w:shd w:val="clear" w:color="auto" w:fill="FFFFFF"/>
        </w:rPr>
        <w:t>机构提供咨询意见，评价咨询专家提供咨询意见时不受评价机构和评价委托方的干预。</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客观原则</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评价咨询专家在提供评价意见的过程中，按照评价成果的客观事实情况进行评审和评议。评价报告和评价意见中的任何分析、技术特点描述、结论，都应当以客观事实为依据。</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公正原则</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评价机构必须站在公正的立场上完成评价工作。评价机构不得因收取评价费用而偏袒或者迁就评价委托方；评价咨询专家也不得因收取咨询费而迁就评价机构。</w:t>
      </w:r>
    </w:p>
    <w:p w:rsidR="006A0331" w:rsidRPr="0069664D" w:rsidRDefault="00BB6D87" w:rsidP="006A0331">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第十条</w:t>
      </w:r>
      <w:r w:rsidR="006A0331"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分类评价、定性定量相结合原则</w:t>
      </w:r>
    </w:p>
    <w:p w:rsidR="00FF452D" w:rsidRPr="0069664D" w:rsidRDefault="00BB6D87" w:rsidP="006A0331">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lastRenderedPageBreak/>
        <w:t>为保证评价结论的科学性、准确性，针对应用技术成果和软科学研究成果各自特点，采用不同的评价指标加权量化进行定量评分，然后在定量评分结果基础上进行综合评价。</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第四章</w:t>
      </w:r>
      <w:r w:rsidR="00757D38"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评价形式</w:t>
      </w:r>
    </w:p>
    <w:p w:rsidR="00757D38"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第十一条</w:t>
      </w:r>
      <w:r w:rsidR="00A02820"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科技成果评价可以采取会议评价和通讯评价两种形式。</w:t>
      </w:r>
    </w:p>
    <w:p w:rsidR="00757D38"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（一）会议评价</w:t>
      </w:r>
      <w:r w:rsidR="00757D38"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需要对科技成果进行现场考察、测试，或需要经过答辩和讨论才能做出评价的，可以采用会议评价形式。</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机构组织评价咨询专家采用会议形式对科技成果做出评价。</w:t>
      </w:r>
    </w:p>
    <w:p w:rsidR="00FF452D" w:rsidRPr="0069664D" w:rsidRDefault="00BB6D87" w:rsidP="00A02820">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（二）通讯评价</w:t>
      </w:r>
      <w:r w:rsidR="00757D38"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不需要进行现场考察、答辩和讨论即可做出评价的，可以采用通信评价形式。</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机构聘请专家，通过书面审查有关技术资料，对科技成果做出评价。通讯评价必须出具评价专家签字的书面评价意见。</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第五章</w:t>
      </w:r>
      <w:r w:rsidR="00A02820"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评价应当提交的资料</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第十二条</w:t>
      </w:r>
      <w:r w:rsidR="00A02820"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评价委托方根</w:t>
      </w:r>
      <w:proofErr w:type="gramStart"/>
      <w:r w:rsidRPr="0069664D">
        <w:rPr>
          <w:rFonts w:ascii="仿宋" w:eastAsia="仿宋" w:hAnsi="仿宋" w:cs="宋体" w:hint="eastAsia"/>
          <w:sz w:val="28"/>
          <w:szCs w:val="28"/>
          <w:shd w:val="clear" w:color="auto" w:fill="FFFFFF"/>
        </w:rPr>
        <w:t>据评价</w:t>
      </w:r>
      <w:proofErr w:type="gramEnd"/>
      <w:r w:rsidRPr="0069664D">
        <w:rPr>
          <w:rFonts w:ascii="仿宋" w:eastAsia="仿宋" w:hAnsi="仿宋" w:cs="宋体" w:hint="eastAsia"/>
          <w:sz w:val="28"/>
          <w:szCs w:val="28"/>
          <w:shd w:val="clear" w:color="auto" w:fill="FFFFFF"/>
        </w:rPr>
        <w:t>成果的所属类别</w:t>
      </w:r>
      <w:proofErr w:type="gramStart"/>
      <w:r w:rsidRPr="0069664D">
        <w:rPr>
          <w:rFonts w:ascii="仿宋" w:eastAsia="仿宋" w:hAnsi="仿宋" w:cs="宋体" w:hint="eastAsia"/>
          <w:sz w:val="28"/>
          <w:szCs w:val="28"/>
          <w:shd w:val="clear" w:color="auto" w:fill="FFFFFF"/>
        </w:rPr>
        <w:t>向评</w:t>
      </w:r>
      <w:proofErr w:type="gramEnd"/>
      <w:r w:rsidRPr="0069664D">
        <w:rPr>
          <w:rFonts w:ascii="仿宋" w:eastAsia="仿宋" w:hAnsi="仿宋" w:cs="宋体" w:hint="eastAsia"/>
          <w:sz w:val="28"/>
          <w:szCs w:val="28"/>
          <w:shd w:val="clear" w:color="auto" w:fill="FFFFFF"/>
        </w:rPr>
        <w:t>价机构提交如下评价资料。</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（一）应用技术成果</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（1）研制报告</w:t>
      </w:r>
      <w:r w:rsidR="00A02820"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（2）测试分析报告及主要实验、测试记录报告；</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（3）专业检测机构出具的产品检测报告；</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（4）国内外相关技术发展的背景材料，引用他人成果或者结论的参考文献；</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（5）国家法律法规要求的行业审批文件；</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（6）缴纳国税、地税的税务证明或推广应用所产生的经济效益或社会效益、环境生态效益证明；</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（7）用户应用证明；</w:t>
      </w:r>
    </w:p>
    <w:p w:rsidR="00FF452D" w:rsidRPr="0069664D" w:rsidRDefault="00BB6D87" w:rsidP="00A02820">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（8）评价机构认为评价所必需的其他技术资料。</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（二）软科学研究成果</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（1）研究报告；</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（2）发表的论文或出版的著作；</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（3）论文（论著）被收录和被他人论文（论著）正面引用证明；</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（4）实际应用或采纳单位出具的证明；</w:t>
      </w:r>
    </w:p>
    <w:p w:rsidR="00A02820" w:rsidRPr="0069664D" w:rsidRDefault="00BB6D87" w:rsidP="00A02820">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（5）评价机构认为评价所必需的其他技术资料。</w:t>
      </w:r>
    </w:p>
    <w:p w:rsidR="00FF452D" w:rsidRPr="0069664D" w:rsidRDefault="00BB6D87" w:rsidP="00A02820">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第十三条</w:t>
      </w:r>
      <w:r w:rsidR="00A02820"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科技成果评价委托方和成果完成者应当提供真实的技术资料，因提供虚假数据和资料而产生的相关法律责任由数据和资料提供者承担。</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第六章</w:t>
      </w:r>
      <w:r w:rsidR="00DC2874"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评价程序</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第十四条</w:t>
      </w:r>
      <w:r w:rsidR="00DC2874"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科技成果评价可</w:t>
      </w:r>
      <w:proofErr w:type="gramStart"/>
      <w:r w:rsidRPr="0069664D">
        <w:rPr>
          <w:rFonts w:ascii="仿宋" w:eastAsia="仿宋" w:hAnsi="仿宋" w:cs="宋体" w:hint="eastAsia"/>
          <w:sz w:val="28"/>
          <w:szCs w:val="28"/>
          <w:shd w:val="clear" w:color="auto" w:fill="FFFFFF"/>
        </w:rPr>
        <w:t>由成果</w:t>
      </w:r>
      <w:proofErr w:type="gramEnd"/>
      <w:r w:rsidRPr="0069664D">
        <w:rPr>
          <w:rFonts w:ascii="仿宋" w:eastAsia="仿宋" w:hAnsi="仿宋" w:cs="宋体" w:hint="eastAsia"/>
          <w:sz w:val="28"/>
          <w:szCs w:val="28"/>
          <w:shd w:val="clear" w:color="auto" w:fill="FFFFFF"/>
        </w:rPr>
        <w:t>使用方、完成者或项目管理部门（单位）作为委托方提出。对符合评价范围的，评价机构与委</w:t>
      </w:r>
      <w:r w:rsidRPr="0069664D">
        <w:rPr>
          <w:rFonts w:ascii="仿宋" w:eastAsia="仿宋" w:hAnsi="仿宋" w:cs="宋体" w:hint="eastAsia"/>
          <w:sz w:val="28"/>
          <w:szCs w:val="28"/>
          <w:shd w:val="clear" w:color="auto" w:fill="FFFFFF"/>
        </w:rPr>
        <w:lastRenderedPageBreak/>
        <w:t>托方签订委托评价合同，按照评价程序开展评价工作；对不符合评价范围的，不得接受委托。</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第十五条</w:t>
      </w:r>
      <w:r w:rsidR="00DC2874"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科技成果评价按下列程序进行：</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（一）委托方向评价机构提出成果评价需求。</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（二）评价机构收到被评价成果材料后，初步审查评价委托方提交的技术资料，判断评价委托方提出的评价要求能否实现。</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（三）接受评价委托，与委托方签订评价合同，约定有关评价的要求、完成时间和费用等事项。</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（四）确定成果评价负责人。由其选聘熟悉被评价科技成果行业领域的专家担任评价咨询专家，同一单位的专家不得超过两人。</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（五）对于需要具备检测或查新报告才能做出评价结论，但评价委托方又未提供相关报告的，评价机构可以要求评价委托方提交符合要求的检测、查新报告，也可以与评价委托方协商，</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机构作为检测、查新委托人取得检测、查新报告。</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（六）专家评价。由每位咨询专家独立评价，提出评价意见。评价机构工作人员负责汇总每位咨询专家的评分结果，并计算出综合评分。</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（七）评价负责人在综合所有咨询专家评价意见的基础上，完成综合评价结论。</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（八）按约定的时间、方式和份数</w:t>
      </w:r>
      <w:proofErr w:type="gramStart"/>
      <w:r w:rsidRPr="0069664D">
        <w:rPr>
          <w:rFonts w:ascii="仿宋" w:eastAsia="仿宋" w:hAnsi="仿宋" w:cs="宋体" w:hint="eastAsia"/>
          <w:sz w:val="28"/>
          <w:szCs w:val="28"/>
          <w:shd w:val="clear" w:color="auto" w:fill="FFFFFF"/>
        </w:rPr>
        <w:t>向评价</w:t>
      </w:r>
      <w:proofErr w:type="gramEnd"/>
      <w:r w:rsidRPr="0069664D">
        <w:rPr>
          <w:rFonts w:ascii="仿宋" w:eastAsia="仿宋" w:hAnsi="仿宋" w:cs="宋体" w:hint="eastAsia"/>
          <w:sz w:val="28"/>
          <w:szCs w:val="28"/>
          <w:shd w:val="clear" w:color="auto" w:fill="FFFFFF"/>
        </w:rPr>
        <w:t>委托方交付评价报告。</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第十六条</w:t>
      </w:r>
      <w:r w:rsidR="00DC2874"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采用会议评价时，</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根据具体情况，聘请5至9名专家组成评价咨询专家组，其中同行专家应占三分之二以上，其余可以为经济、财务或管理专家。每位咨询专家独立提出评价意见。评价负责人综合归纳每位咨询专家的评价意见并形成评价结论，并提请评价咨询专家组通过。</w:t>
      </w:r>
    </w:p>
    <w:p w:rsidR="00DC2874" w:rsidRPr="0069664D" w:rsidRDefault="00BB6D87" w:rsidP="00DC2874">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第十七条</w:t>
      </w:r>
      <w:r w:rsidR="00DC2874"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采用通讯评价时，</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机构聘请专家5至9人组成函审组，其中同行专家应占三分之二以上，其余可以为经济、财务或管理专家。各位专家独立提出评价意见。</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负责人综合归纳每位专家的评价意见并形成评价结论，并将每位专家的评价咨询意见作为附件。</w:t>
      </w:r>
    </w:p>
    <w:p w:rsidR="00FF452D" w:rsidRPr="0069664D" w:rsidRDefault="00BB6D87" w:rsidP="00DC2874">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第十八条</w:t>
      </w:r>
      <w:r w:rsidR="00DC2874"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科技成果评价的</w:t>
      </w:r>
      <w:proofErr w:type="gramStart"/>
      <w:r w:rsidRPr="0069664D">
        <w:rPr>
          <w:rFonts w:ascii="仿宋" w:eastAsia="仿宋" w:hAnsi="仿宋" w:cs="宋体" w:hint="eastAsia"/>
          <w:sz w:val="28"/>
          <w:szCs w:val="28"/>
          <w:shd w:val="clear" w:color="auto" w:fill="FFFFFF"/>
        </w:rPr>
        <w:t>完整技术</w:t>
      </w:r>
      <w:proofErr w:type="gramEnd"/>
      <w:r w:rsidRPr="0069664D">
        <w:rPr>
          <w:rFonts w:ascii="仿宋" w:eastAsia="仿宋" w:hAnsi="仿宋" w:cs="宋体" w:hint="eastAsia"/>
          <w:sz w:val="28"/>
          <w:szCs w:val="28"/>
          <w:shd w:val="clear" w:color="auto" w:fill="FFFFFF"/>
        </w:rPr>
        <w:t>资料（包括专家评价意见）</w:t>
      </w:r>
      <w:proofErr w:type="gramStart"/>
      <w:r w:rsidRPr="0069664D">
        <w:rPr>
          <w:rFonts w:ascii="仿宋" w:eastAsia="仿宋" w:hAnsi="仿宋" w:cs="宋体" w:hint="eastAsia"/>
          <w:sz w:val="28"/>
          <w:szCs w:val="28"/>
          <w:shd w:val="clear" w:color="auto" w:fill="FFFFFF"/>
        </w:rPr>
        <w:t>由评</w:t>
      </w:r>
      <w:proofErr w:type="gramEnd"/>
      <w:r w:rsidRPr="0069664D">
        <w:rPr>
          <w:rFonts w:ascii="仿宋" w:eastAsia="仿宋" w:hAnsi="仿宋" w:cs="宋体" w:hint="eastAsia"/>
          <w:sz w:val="28"/>
          <w:szCs w:val="28"/>
          <w:shd w:val="clear" w:color="auto" w:fill="FFFFFF"/>
        </w:rPr>
        <w:t>价机构和委托方按档案管理部门的规定归档。</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第七章</w:t>
      </w:r>
      <w:r w:rsidR="009652AC"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评价机构</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第十九条</w:t>
      </w:r>
      <w:r w:rsidR="009652A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参加试点的评价机构应当同时具备下列条件：</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（一）社团法人、事业法人、企业法人或民政部门登记的民办科技咨询机构；</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（二）从事科技咨询、科技成果评价等相关工作3年以上；</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（三）具有相应专业本科学历以上的专职人员不少于5人；</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（四）具备相应专业领域的技术专家库；</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（五）有健全的内部管理制度；</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（六）有固定的办公场所和必要的办公条件；</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（七）试点管理部门（单位）规定的其他条件。</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第二十条</w:t>
      </w:r>
      <w:r w:rsidR="009652A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评价机构具有以下权利：</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（一）存在下列情况之一时，评价机构可以拒绝接受评价委托：</w:t>
      </w:r>
    </w:p>
    <w:p w:rsidR="009652A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（1）</w:t>
      </w:r>
      <w:r w:rsidR="009652A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科技成果违反国家法律、法规规定或违背社会公德，对社会公共利益或者环境和资源可能造成危害的；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（2）</w:t>
      </w:r>
      <w:r w:rsidR="009652A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科技成果根据国家法律、法规规定必须经过法定的专门机构审查确认，而尚未经依法审查确认的；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（3）</w:t>
      </w:r>
      <w:r w:rsidR="009652A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科技成果涉及国家秘密的；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（4）</w:t>
      </w:r>
      <w:r w:rsidR="009652A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科技成果存在知识产权权属争议，且尚未解决的；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（5</w:t>
      </w:r>
      <w:r w:rsidR="00EE115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评价委托方、科技成果完成者提供虚假情况或不能提供评价所需材料的；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（6）</w:t>
      </w:r>
      <w:r w:rsidR="00EE115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评价要求主要为非技术内容的。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（二）评价机构有权要求评价委托方补充评价材料。</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（三）评价机构有权依法合理收取评价费用。</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第二十一条</w:t>
      </w:r>
      <w:r w:rsidR="00EE115C"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评价机构具有以下义务：</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（一）评价机构只能在试点管理部门确定的专业范围内从事评价活动。评价机构不得受托和承担涉及国家秘密的成果评价，依法取得有关涉密资质的除外。</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（二）评价机构应当根据需要评价的技术内容和要求与评价委托方协商，依法订立合同，并按照评价合同约定的时间和方式</w:t>
      </w:r>
      <w:proofErr w:type="gramStart"/>
      <w:r w:rsidRPr="0069664D">
        <w:rPr>
          <w:rFonts w:ascii="仿宋" w:eastAsia="仿宋" w:hAnsi="仿宋" w:cs="宋体" w:hint="eastAsia"/>
          <w:sz w:val="28"/>
          <w:szCs w:val="28"/>
          <w:shd w:val="clear" w:color="auto" w:fill="FFFFFF"/>
        </w:rPr>
        <w:t>向评价</w:t>
      </w:r>
      <w:proofErr w:type="gramEnd"/>
      <w:r w:rsidRPr="0069664D">
        <w:rPr>
          <w:rFonts w:ascii="仿宋" w:eastAsia="仿宋" w:hAnsi="仿宋" w:cs="宋体" w:hint="eastAsia"/>
          <w:sz w:val="28"/>
          <w:szCs w:val="28"/>
          <w:shd w:val="clear" w:color="auto" w:fill="FFFFFF"/>
        </w:rPr>
        <w:t>委托方交付科技成果评价报告。</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（三）评价机构应当自主完成评价工作，对本机构不能承担的评价工作，可向委托方推荐其他专业评价机构。</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（四）评价机构开展评价工作的程序应当符合本办法的要求。</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（五）评价机构应当保证所聘请的评价咨询专家的独立性，不得</w:t>
      </w:r>
      <w:proofErr w:type="gramStart"/>
      <w:r w:rsidRPr="0069664D">
        <w:rPr>
          <w:rFonts w:ascii="仿宋" w:eastAsia="仿宋" w:hAnsi="仿宋" w:cs="宋体" w:hint="eastAsia"/>
          <w:sz w:val="28"/>
          <w:szCs w:val="28"/>
          <w:shd w:val="clear" w:color="auto" w:fill="FFFFFF"/>
        </w:rPr>
        <w:t>向评价</w:t>
      </w:r>
      <w:proofErr w:type="gramEnd"/>
      <w:r w:rsidRPr="0069664D">
        <w:rPr>
          <w:rFonts w:ascii="仿宋" w:eastAsia="仿宋" w:hAnsi="仿宋" w:cs="宋体" w:hint="eastAsia"/>
          <w:sz w:val="28"/>
          <w:szCs w:val="28"/>
          <w:shd w:val="clear" w:color="auto" w:fill="FFFFFF"/>
        </w:rPr>
        <w:t>咨询专家施加倾向性影响。</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（六）评价机构在形成评价结论的过程中不能使用、依赖没有充分依据支持的结论和判断。</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（七）评价机构对其依据委托方提供的技术资料所做出的评价结论负责。</w:t>
      </w:r>
    </w:p>
    <w:p w:rsidR="00EE115C" w:rsidRPr="0069664D" w:rsidRDefault="00BB6D87" w:rsidP="00EE115C">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（八）评价机构应当按合同约定收取评价费用，评价费用的多少不应</w:t>
      </w:r>
      <w:proofErr w:type="gramStart"/>
      <w:r w:rsidRPr="0069664D">
        <w:rPr>
          <w:rFonts w:ascii="仿宋" w:eastAsia="仿宋" w:hAnsi="仿宋" w:cs="宋体" w:hint="eastAsia"/>
          <w:sz w:val="28"/>
          <w:szCs w:val="28"/>
          <w:shd w:val="clear" w:color="auto" w:fill="FFFFFF"/>
        </w:rPr>
        <w:t>随最终</w:t>
      </w:r>
      <w:proofErr w:type="gramEnd"/>
      <w:r w:rsidRPr="0069664D">
        <w:rPr>
          <w:rFonts w:ascii="仿宋" w:eastAsia="仿宋" w:hAnsi="仿宋" w:cs="宋体" w:hint="eastAsia"/>
          <w:sz w:val="28"/>
          <w:szCs w:val="28"/>
          <w:shd w:val="clear" w:color="auto" w:fill="FFFFFF"/>
        </w:rPr>
        <w:t>评价结论而变动。</w:t>
      </w:r>
    </w:p>
    <w:p w:rsidR="00FF452D" w:rsidRPr="0069664D" w:rsidRDefault="00BB6D87" w:rsidP="00EE115C">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九）评价机构及其工作人员，应当严格遵守科学道德和职业道德规范，保证科技成果评价的严肃性和科学性。未经委托方和成果完成者同意，擅自披露、使用或者向他人提供和转让被评价科技成果的关键技术的，依法追究其法律责任。</w:t>
      </w:r>
    </w:p>
    <w:p w:rsidR="00FF452D" w:rsidRPr="0069664D" w:rsidRDefault="006A4346">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 xml:space="preserve">第八章  </w:t>
      </w:r>
      <w:r w:rsidR="00BB6D87" w:rsidRPr="0069664D">
        <w:rPr>
          <w:rStyle w:val="a4"/>
          <w:rFonts w:ascii="仿宋" w:eastAsia="仿宋" w:hAnsi="仿宋" w:cs="宋体" w:hint="eastAsia"/>
          <w:sz w:val="28"/>
          <w:szCs w:val="28"/>
          <w:shd w:val="clear" w:color="auto" w:fill="FFFFFF"/>
        </w:rPr>
        <w:t>评价咨询专家</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第二十二条</w:t>
      </w:r>
      <w:r w:rsidR="006A4346"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评价咨询专家应具备的条件：</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（一）具有高级技术职务（特殊情况下可聘请不多于五分之一的具有中级技术职务的中青年科技骨干）；</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（二）遵守国家法律法规和社会公德，具有严谨的科学态度和良好的职业道德；</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（三）熟悉《中华人民共和国科学技术进步法》、《中华人民共和国促进科技成果转化法》、科技部《科学技术评价办法（试行）》、《科技评估管理暂行办法》和本办法；</w:t>
      </w:r>
    </w:p>
    <w:p w:rsidR="00FF452D" w:rsidRPr="0069664D" w:rsidRDefault="00BB6D87" w:rsidP="006A4346">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（四）对评价成果所属专业领域有较丰富的理论知识和实践经验，熟悉国内外该领域技术发展的状况，在该领域具有一定的学术权威。</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第二十三条</w:t>
      </w:r>
      <w:r w:rsidR="006A4346"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评价专家应当坚持实事求是、科学严谨的态度，遵守如下行为规范：</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（一）维护评价成果所有者的知识产权，保守被评价成果的技术秘密。评价工作完成后，有关评价成果的所有材料应当全部退还</w:t>
      </w:r>
      <w:proofErr w:type="gramStart"/>
      <w:r w:rsidRPr="0069664D">
        <w:rPr>
          <w:rFonts w:ascii="仿宋" w:eastAsia="仿宋" w:hAnsi="仿宋" w:cs="宋体" w:hint="eastAsia"/>
          <w:sz w:val="28"/>
          <w:szCs w:val="28"/>
          <w:shd w:val="clear" w:color="auto" w:fill="FFFFFF"/>
        </w:rPr>
        <w:t>给评价</w:t>
      </w:r>
      <w:proofErr w:type="gramEnd"/>
      <w:r w:rsidRPr="0069664D">
        <w:rPr>
          <w:rFonts w:ascii="仿宋" w:eastAsia="仿宋" w:hAnsi="仿宋" w:cs="宋体" w:hint="eastAsia"/>
          <w:sz w:val="28"/>
          <w:szCs w:val="28"/>
          <w:shd w:val="clear" w:color="auto" w:fill="FFFFFF"/>
        </w:rPr>
        <w:t>机构，不得向其他组织或者个人扩散，不得非法占有、使用、提供、转让。</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（二）自觉坚持回避原则，不接受邀请参加与评价成果有利益关系或可能影响公正性的评价。</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（三）提供的书面评价意见应当清晰、准确地反映评价成果的实际情况，并对所出具的评价意见负责。</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（四）不得</w:t>
      </w:r>
      <w:proofErr w:type="gramStart"/>
      <w:r w:rsidRPr="0069664D">
        <w:rPr>
          <w:rFonts w:ascii="仿宋" w:eastAsia="仿宋" w:hAnsi="仿宋" w:cs="宋体" w:hint="eastAsia"/>
          <w:sz w:val="28"/>
          <w:szCs w:val="28"/>
          <w:shd w:val="clear" w:color="auto" w:fill="FFFFFF"/>
        </w:rPr>
        <w:t>收受除</w:t>
      </w:r>
      <w:proofErr w:type="gramEnd"/>
      <w:r w:rsidRPr="0069664D">
        <w:rPr>
          <w:rFonts w:ascii="仿宋" w:eastAsia="仿宋" w:hAnsi="仿宋" w:cs="宋体" w:hint="eastAsia"/>
          <w:sz w:val="28"/>
          <w:szCs w:val="28"/>
          <w:shd w:val="clear" w:color="auto" w:fill="FFFFFF"/>
        </w:rPr>
        <w:t>约定的咨询费之外的任何组织、个人提供的与评价有关的酬金、有价物品或其他好处。</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第二十四条</w:t>
      </w:r>
      <w:r w:rsidR="006A4346"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参加成果评价的咨询专家，</w:t>
      </w:r>
      <w:proofErr w:type="gramStart"/>
      <w:r w:rsidRPr="0069664D">
        <w:rPr>
          <w:rFonts w:ascii="仿宋" w:eastAsia="仿宋" w:hAnsi="仿宋" w:cs="宋体" w:hint="eastAsia"/>
          <w:sz w:val="28"/>
          <w:szCs w:val="28"/>
          <w:shd w:val="clear" w:color="auto" w:fill="FFFFFF"/>
        </w:rPr>
        <w:t>由评价</w:t>
      </w:r>
      <w:proofErr w:type="gramEnd"/>
      <w:r w:rsidRPr="0069664D">
        <w:rPr>
          <w:rFonts w:ascii="仿宋" w:eastAsia="仿宋" w:hAnsi="仿宋" w:cs="宋体" w:hint="eastAsia"/>
          <w:sz w:val="28"/>
          <w:szCs w:val="28"/>
          <w:shd w:val="clear" w:color="auto" w:fill="FFFFFF"/>
        </w:rPr>
        <w:t>机构主要从科技成果评价专家库中遴选。根据被评价成果的专业特性和具体情况，可在专家库以外选聘不超过三分之一的专家。委托方、成果完</w:t>
      </w:r>
      <w:r w:rsidRPr="0069664D">
        <w:rPr>
          <w:rFonts w:ascii="仿宋" w:eastAsia="仿宋" w:hAnsi="仿宋" w:cs="宋体" w:hint="eastAsia"/>
          <w:sz w:val="28"/>
          <w:szCs w:val="28"/>
          <w:shd w:val="clear" w:color="auto" w:fill="FFFFFF"/>
        </w:rPr>
        <w:lastRenderedPageBreak/>
        <w:t>成单位等关联单位的人员不得作为评价咨询专家参加对其成果的评价。</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第二十五条</w:t>
      </w:r>
      <w:r w:rsidR="006A4346"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评价专家在成果评价中享有下列权利：</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（一）对科技成果独立做出评价，不受任何单位和个人的干涉；</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（二）通过评价机构要求科技成果完成者提供充分、详实的技术资料（包括必要的原始资料），向科技成果完成单位或者个人提出质疑并要求做出解释，要求复核试验或者测试结果；</w:t>
      </w:r>
    </w:p>
    <w:p w:rsidR="006A4346" w:rsidRPr="0069664D" w:rsidRDefault="00BB6D87" w:rsidP="006A4346">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（三）充分发表个人意见，有权要求在评价结论中记载不同意见；</w:t>
      </w:r>
    </w:p>
    <w:p w:rsidR="00FF452D" w:rsidRPr="0069664D" w:rsidRDefault="00BB6D87" w:rsidP="006A4346">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（四）有权要求排除影响成果评价工作的干扰，必要时可</w:t>
      </w:r>
      <w:proofErr w:type="gramStart"/>
      <w:r w:rsidRPr="0069664D">
        <w:rPr>
          <w:rFonts w:ascii="仿宋" w:eastAsia="仿宋" w:hAnsi="仿宋" w:cs="宋体" w:hint="eastAsia"/>
          <w:sz w:val="28"/>
          <w:szCs w:val="28"/>
          <w:shd w:val="clear" w:color="auto" w:fill="FFFFFF"/>
        </w:rPr>
        <w:t>向评价</w:t>
      </w:r>
      <w:proofErr w:type="gramEnd"/>
      <w:r w:rsidRPr="0069664D">
        <w:rPr>
          <w:rFonts w:ascii="仿宋" w:eastAsia="仿宋" w:hAnsi="仿宋" w:cs="宋体" w:hint="eastAsia"/>
          <w:sz w:val="28"/>
          <w:szCs w:val="28"/>
          <w:shd w:val="clear" w:color="auto" w:fill="FFFFFF"/>
        </w:rPr>
        <w:t>机构提出退出评价请求。</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第九章</w:t>
      </w:r>
      <w:r w:rsidR="009257BA"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分类评价指标</w:t>
      </w:r>
    </w:p>
    <w:p w:rsidR="009257BA"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第二十六条</w:t>
      </w:r>
      <w:r w:rsidR="009257BA"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技术开发类应用技术成果、社会公益类应用技术成果、软科学研究成果三种类型成果评价采用分类加权量化评价方式，根据成果类型采取不同的评价指标和加权系数。</w:t>
      </w:r>
    </w:p>
    <w:p w:rsidR="009257BA"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第二十七条</w:t>
      </w:r>
      <w:r w:rsidR="009257BA"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技术开发类应用技术成果评价指标主要包括：技术创新程度，技术经济指标的先进程度，技术难度和复杂程度，技术重现性和成熟程度，技术创新对推动科技进步和提高市场竞争能力的作用，取得的经济效益或社会效益。（评价指标见附表1）</w:t>
      </w:r>
    </w:p>
    <w:p w:rsidR="009257BA"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第二十八条</w:t>
      </w:r>
      <w:r w:rsidR="009257BA"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社会公益类应用技术成果评价指标主要包括：技术创新程度，技术指标的先进程度，技术难度和复杂程度，应用推</w:t>
      </w:r>
      <w:r w:rsidRPr="0069664D">
        <w:rPr>
          <w:rFonts w:ascii="仿宋" w:eastAsia="仿宋" w:hAnsi="仿宋" w:cs="宋体" w:hint="eastAsia"/>
          <w:sz w:val="28"/>
          <w:szCs w:val="28"/>
          <w:shd w:val="clear" w:color="auto" w:fill="FFFFFF"/>
        </w:rPr>
        <w:lastRenderedPageBreak/>
        <w:t>广程度，对相关领域科技进步的推动作用，已获社会、生态、环境效益。（评价指标见附表2）</w:t>
      </w:r>
    </w:p>
    <w:p w:rsidR="009257BA"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第二十九条</w:t>
      </w:r>
      <w:r w:rsidR="009257BA"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软科学研究成果评价指标主要包括：创新程度，研究难度与复杂程度，科学价值与学术水平，对决策科学化和管理现代化的影响程度，取得的经济效益和社会效益，与国民经济、社会、科技发展战略的紧密程度。（评价指标见附表3）</w:t>
      </w:r>
    </w:p>
    <w:p w:rsidR="00FF452D" w:rsidRPr="0069664D" w:rsidRDefault="00BB6D87" w:rsidP="00BF2893">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第三十条</w:t>
      </w:r>
      <w:r w:rsidR="009257BA"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评价机构参考评价咨询专家</w:t>
      </w:r>
      <w:proofErr w:type="gramStart"/>
      <w:r w:rsidRPr="0069664D">
        <w:rPr>
          <w:rFonts w:ascii="仿宋" w:eastAsia="仿宋" w:hAnsi="仿宋" w:cs="宋体" w:hint="eastAsia"/>
          <w:sz w:val="28"/>
          <w:szCs w:val="28"/>
          <w:shd w:val="clear" w:color="auto" w:fill="FFFFFF"/>
        </w:rPr>
        <w:t>组评价</w:t>
      </w:r>
      <w:proofErr w:type="gramEnd"/>
      <w:r w:rsidRPr="0069664D">
        <w:rPr>
          <w:rFonts w:ascii="仿宋" w:eastAsia="仿宋" w:hAnsi="仿宋" w:cs="宋体" w:hint="eastAsia"/>
          <w:sz w:val="28"/>
          <w:szCs w:val="28"/>
          <w:shd w:val="clear" w:color="auto" w:fill="FFFFFF"/>
        </w:rPr>
        <w:t>指标量化评分结果，确定被评价科技成果的总体水平，做出评价结论。</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第十章</w:t>
      </w:r>
      <w:r w:rsidR="00BF2893" w:rsidRPr="0069664D">
        <w:rPr>
          <w:rStyle w:val="a4"/>
          <w:rFonts w:ascii="仿宋" w:eastAsia="仿宋" w:hAnsi="仿宋" w:cs="宋体" w:hint="eastAsia"/>
          <w:sz w:val="28"/>
          <w:szCs w:val="28"/>
          <w:shd w:val="clear" w:color="auto" w:fill="FFFFFF"/>
        </w:rPr>
        <w:t xml:space="preserve">  </w:t>
      </w:r>
      <w:r w:rsidRPr="0069664D">
        <w:rPr>
          <w:rStyle w:val="a4"/>
          <w:rFonts w:ascii="仿宋" w:eastAsia="仿宋" w:hAnsi="仿宋" w:cs="宋体" w:hint="eastAsia"/>
          <w:sz w:val="28"/>
          <w:szCs w:val="28"/>
          <w:shd w:val="clear" w:color="auto" w:fill="FFFFFF"/>
        </w:rPr>
        <w:t>评价报告</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第三十一条</w:t>
      </w:r>
      <w:r w:rsidR="00BF2893"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评价报告是评价机构以书面形式就评价工作及其结论</w:t>
      </w:r>
      <w:proofErr w:type="gramStart"/>
      <w:r w:rsidRPr="0069664D">
        <w:rPr>
          <w:rFonts w:ascii="仿宋" w:eastAsia="仿宋" w:hAnsi="仿宋" w:cs="宋体" w:hint="eastAsia"/>
          <w:sz w:val="28"/>
          <w:szCs w:val="28"/>
          <w:shd w:val="clear" w:color="auto" w:fill="FFFFFF"/>
        </w:rPr>
        <w:t>向评价</w:t>
      </w:r>
      <w:proofErr w:type="gramEnd"/>
      <w:r w:rsidRPr="0069664D">
        <w:rPr>
          <w:rFonts w:ascii="仿宋" w:eastAsia="仿宋" w:hAnsi="仿宋" w:cs="宋体" w:hint="eastAsia"/>
          <w:sz w:val="28"/>
          <w:szCs w:val="28"/>
          <w:shd w:val="clear" w:color="auto" w:fill="FFFFFF"/>
        </w:rPr>
        <w:t>委托方做出的正式陈述。（评价报告的格式和</w:t>
      </w:r>
      <w:proofErr w:type="gramStart"/>
      <w:r w:rsidRPr="0069664D">
        <w:rPr>
          <w:rFonts w:ascii="仿宋" w:eastAsia="仿宋" w:hAnsi="仿宋" w:cs="宋体" w:hint="eastAsia"/>
          <w:sz w:val="28"/>
          <w:szCs w:val="28"/>
          <w:shd w:val="clear" w:color="auto" w:fill="FFFFFF"/>
        </w:rPr>
        <w:t>要</w:t>
      </w:r>
      <w:proofErr w:type="gramEnd"/>
      <w:r w:rsidRPr="0069664D">
        <w:rPr>
          <w:rFonts w:ascii="仿宋" w:eastAsia="仿宋" w:hAnsi="仿宋" w:cs="宋体" w:hint="eastAsia"/>
          <w:sz w:val="28"/>
          <w:szCs w:val="28"/>
          <w:shd w:val="clear" w:color="auto" w:fill="FFFFFF"/>
        </w:rPr>
        <w:t>求见附件1）</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第三十二条</w:t>
      </w:r>
      <w:r w:rsidR="00BF2893"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评价报告应当有评价负责人和评价咨询专家的签字，加盖评价机构公章，同时对评价报告的每一页跨页盖骑缝章。</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第三十三条</w:t>
      </w:r>
      <w:r w:rsidR="00BF2893" w:rsidRPr="0069664D">
        <w:rPr>
          <w:rFonts w:ascii="仿宋" w:eastAsia="仿宋" w:hAnsi="仿宋" w:cs="宋体" w:hint="eastAsia"/>
          <w:sz w:val="28"/>
          <w:szCs w:val="28"/>
          <w:shd w:val="clear" w:color="auto" w:fill="FFFFFF"/>
        </w:rPr>
        <w:t xml:space="preserve">  </w:t>
      </w:r>
      <w:r w:rsidRPr="0069664D">
        <w:rPr>
          <w:rFonts w:ascii="仿宋" w:eastAsia="仿宋" w:hAnsi="仿宋" w:cs="宋体" w:hint="eastAsia"/>
          <w:sz w:val="28"/>
          <w:szCs w:val="28"/>
          <w:shd w:val="clear" w:color="auto" w:fill="FFFFFF"/>
        </w:rPr>
        <w:t>评价结论</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（一）评价结论应根据评价成果的技术资料，在综合评价专家意见的基础上做出。</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（二）对于评价的指标，应写明被评价成果实际达到的技术水平。</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（三）对于评价指标对比分析，既要写明评价成果实际达到的水平，也要写明比较对象（如国内外最新相关技术）达到的水平。</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（四）评价结论可分为分项结论和综合结论。对于评价委托方要求给出评价综合结论的，评价报告中应当明确给出。评价结论中</w:t>
      </w:r>
      <w:r w:rsidRPr="00F97936">
        <w:rPr>
          <w:rFonts w:ascii="仿宋" w:eastAsia="仿宋" w:hAnsi="仿宋" w:cs="宋体" w:hint="eastAsia"/>
          <w:color w:val="000000" w:themeColor="text1"/>
          <w:sz w:val="28"/>
          <w:szCs w:val="28"/>
          <w:shd w:val="clear" w:color="auto" w:fill="FFFFFF"/>
        </w:rPr>
        <w:t>慎用“</w:t>
      </w:r>
      <w:r w:rsidRPr="0069664D">
        <w:rPr>
          <w:rFonts w:ascii="仿宋" w:eastAsia="仿宋" w:hAnsi="仿宋" w:cs="宋体" w:hint="eastAsia"/>
          <w:sz w:val="28"/>
          <w:szCs w:val="28"/>
          <w:shd w:val="clear" w:color="auto" w:fill="FFFFFF"/>
        </w:rPr>
        <w:t>国际领先”、“国际先进”、“国内领先”、“国内首创”、“国内先进”、“填补空白”等抽象用语。</w:t>
      </w:r>
    </w:p>
    <w:p w:rsidR="00BF2893" w:rsidRPr="0069664D" w:rsidRDefault="00BB6D87" w:rsidP="00BF2893">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（五）评价结论属咨询意见，供使用者参考。依据评价结论做出的决策行为，其后果由行为决策者承担。</w:t>
      </w:r>
    </w:p>
    <w:p w:rsidR="00FF452D" w:rsidRPr="0069664D" w:rsidRDefault="00BB6D87" w:rsidP="00BF2893">
      <w:pPr>
        <w:pStyle w:val="a3"/>
        <w:spacing w:line="360" w:lineRule="atLeast"/>
        <w:ind w:firstLineChars="200" w:firstLine="560"/>
        <w:rPr>
          <w:rFonts w:ascii="仿宋" w:eastAsia="仿宋" w:hAnsi="仿宋"/>
          <w:sz w:val="28"/>
          <w:szCs w:val="28"/>
        </w:rPr>
      </w:pPr>
      <w:r w:rsidRPr="0069664D">
        <w:rPr>
          <w:rFonts w:ascii="仿宋" w:eastAsia="仿宋" w:hAnsi="仿宋" w:cs="宋体" w:hint="eastAsia"/>
          <w:sz w:val="28"/>
          <w:szCs w:val="28"/>
          <w:shd w:val="clear" w:color="auto" w:fill="FFFFFF"/>
        </w:rPr>
        <w:t>（六）在征得评价委托方和成果完成者同意后，评价结论、评价机构名称和评价咨询专家名单一般应以适当方式公开。</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第十一章  评价费用</w:t>
      </w:r>
    </w:p>
    <w:p w:rsidR="00BB6D87" w:rsidRPr="0069664D" w:rsidRDefault="00BB6D87" w:rsidP="00BB6D87">
      <w:pPr>
        <w:pStyle w:val="a3"/>
        <w:spacing w:line="360" w:lineRule="atLeast"/>
        <w:ind w:firstLineChars="200" w:firstLine="560"/>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t>第三十四条  科技成果评价费用本着非营利的原则，根据评价工作的复杂程度和具体活动内容，由委托方与评价机构以合同形式约定具体费用。评价机构按合同约定收取评价费用，费用多少不随最终评价结论而变动。</w:t>
      </w:r>
    </w:p>
    <w:p w:rsidR="00BB6D87" w:rsidRPr="00F35CB7" w:rsidRDefault="00BB6D87" w:rsidP="00BB6D87">
      <w:pPr>
        <w:pStyle w:val="a3"/>
        <w:spacing w:line="360" w:lineRule="atLeast"/>
        <w:ind w:firstLineChars="200" w:firstLine="560"/>
        <w:rPr>
          <w:rFonts w:ascii="仿宋" w:eastAsia="仿宋" w:hAnsi="仿宋" w:cs="宋体"/>
          <w:color w:val="000000" w:themeColor="text1"/>
          <w:sz w:val="28"/>
          <w:szCs w:val="28"/>
          <w:shd w:val="clear" w:color="auto" w:fill="FFFFFF"/>
        </w:rPr>
      </w:pPr>
      <w:r w:rsidRPr="00F35CB7">
        <w:rPr>
          <w:rFonts w:ascii="仿宋" w:eastAsia="仿宋" w:hAnsi="仿宋" w:cs="宋体" w:hint="eastAsia"/>
          <w:color w:val="000000" w:themeColor="text1"/>
          <w:sz w:val="28"/>
          <w:szCs w:val="28"/>
          <w:shd w:val="clear" w:color="auto" w:fill="FFFFFF"/>
        </w:rPr>
        <w:t>第三十五条  评价费用应当按照国家、当地物价部门规定的收费原则确定。国家、当地物价部门没有规定的，</w:t>
      </w:r>
      <w:bookmarkStart w:id="1" w:name="_Hlk108691311"/>
      <w:proofErr w:type="gramStart"/>
      <w:r w:rsidRPr="00F35CB7">
        <w:rPr>
          <w:rFonts w:ascii="仿宋" w:eastAsia="仿宋" w:hAnsi="仿宋" w:cs="宋体" w:hint="eastAsia"/>
          <w:color w:val="000000" w:themeColor="text1"/>
          <w:sz w:val="28"/>
          <w:szCs w:val="28"/>
          <w:shd w:val="clear" w:color="auto" w:fill="FFFFFF"/>
        </w:rPr>
        <w:t>由评价</w:t>
      </w:r>
      <w:proofErr w:type="gramEnd"/>
      <w:r w:rsidRPr="00F35CB7">
        <w:rPr>
          <w:rFonts w:ascii="仿宋" w:eastAsia="仿宋" w:hAnsi="仿宋" w:cs="宋体" w:hint="eastAsia"/>
          <w:color w:val="000000" w:themeColor="text1"/>
          <w:sz w:val="28"/>
          <w:szCs w:val="28"/>
          <w:shd w:val="clear" w:color="auto" w:fill="FFFFFF"/>
        </w:rPr>
        <w:t>委托方与评价机构协商，以合同形式约定，并报评价机构</w:t>
      </w:r>
      <w:r w:rsidR="005148B4" w:rsidRPr="00F35CB7">
        <w:rPr>
          <w:rFonts w:ascii="仿宋" w:eastAsia="仿宋" w:hAnsi="仿宋" w:cs="宋体" w:hint="eastAsia"/>
          <w:color w:val="000000" w:themeColor="text1"/>
          <w:sz w:val="28"/>
          <w:szCs w:val="28"/>
          <w:shd w:val="clear" w:color="auto" w:fill="FFFFFF"/>
        </w:rPr>
        <w:t>挂靠</w:t>
      </w:r>
      <w:r w:rsidRPr="00F35CB7">
        <w:rPr>
          <w:rFonts w:ascii="仿宋" w:eastAsia="仿宋" w:hAnsi="仿宋" w:cs="宋体" w:hint="eastAsia"/>
          <w:color w:val="000000" w:themeColor="text1"/>
          <w:sz w:val="28"/>
          <w:szCs w:val="28"/>
          <w:shd w:val="clear" w:color="auto" w:fill="FFFFFF"/>
        </w:rPr>
        <w:t>管理部门备案。</w:t>
      </w:r>
    </w:p>
    <w:bookmarkEnd w:id="1"/>
    <w:p w:rsidR="00FF452D" w:rsidRPr="0069664D" w:rsidRDefault="00BB6D87" w:rsidP="00BB6D87">
      <w:pPr>
        <w:pStyle w:val="a3"/>
        <w:spacing w:line="360" w:lineRule="atLeast"/>
        <w:ind w:firstLineChars="200" w:firstLine="560"/>
        <w:rPr>
          <w:rFonts w:ascii="仿宋" w:eastAsia="仿宋" w:hAnsi="仿宋"/>
          <w:sz w:val="28"/>
          <w:szCs w:val="28"/>
        </w:rPr>
      </w:pPr>
      <w:r w:rsidRPr="00F35CB7">
        <w:rPr>
          <w:rFonts w:ascii="仿宋" w:eastAsia="仿宋" w:hAnsi="仿宋" w:cs="宋体" w:hint="eastAsia"/>
          <w:color w:val="000000" w:themeColor="text1"/>
          <w:sz w:val="28"/>
          <w:szCs w:val="28"/>
          <w:shd w:val="clear" w:color="auto" w:fill="FFFFFF"/>
        </w:rPr>
        <w:t>第三十六条  对所聘请的评价咨询专家，</w:t>
      </w:r>
      <w:proofErr w:type="gramStart"/>
      <w:r w:rsidRPr="00F35CB7">
        <w:rPr>
          <w:rFonts w:ascii="仿宋" w:eastAsia="仿宋" w:hAnsi="仿宋" w:cs="宋体" w:hint="eastAsia"/>
          <w:color w:val="000000" w:themeColor="text1"/>
          <w:sz w:val="28"/>
          <w:szCs w:val="28"/>
          <w:shd w:val="clear" w:color="auto" w:fill="FFFFFF"/>
        </w:rPr>
        <w:t>由评价</w:t>
      </w:r>
      <w:proofErr w:type="gramEnd"/>
      <w:r w:rsidRPr="00F35CB7">
        <w:rPr>
          <w:rFonts w:ascii="仿宋" w:eastAsia="仿宋" w:hAnsi="仿宋" w:cs="宋体" w:hint="eastAsia"/>
          <w:color w:val="000000" w:themeColor="text1"/>
          <w:sz w:val="28"/>
          <w:szCs w:val="28"/>
          <w:shd w:val="clear" w:color="auto" w:fill="FFFFFF"/>
        </w:rPr>
        <w:t>机构按照实际工作量发放技术咨询费。</w:t>
      </w:r>
      <w:r w:rsidR="0069664D" w:rsidRPr="00F35CB7">
        <w:rPr>
          <w:rFonts w:ascii="仿宋_GB2312" w:eastAsia="仿宋_GB2312" w:hint="eastAsia"/>
          <w:color w:val="000000" w:themeColor="text1"/>
          <w:sz w:val="30"/>
          <w:szCs w:val="30"/>
        </w:rPr>
        <w:t>所需费用包括会议费、专家咨询费、交</w:t>
      </w:r>
      <w:r w:rsidR="0069664D" w:rsidRPr="0069664D">
        <w:rPr>
          <w:rFonts w:ascii="仿宋_GB2312" w:eastAsia="仿宋_GB2312" w:hint="eastAsia"/>
          <w:color w:val="000000"/>
          <w:sz w:val="30"/>
          <w:szCs w:val="30"/>
        </w:rPr>
        <w:t>通费等，由科技成果评价申请方承担。</w:t>
      </w:r>
    </w:p>
    <w:p w:rsidR="00FF452D" w:rsidRPr="0069664D" w:rsidRDefault="00BB6D87">
      <w:pPr>
        <w:pStyle w:val="a3"/>
        <w:spacing w:line="360" w:lineRule="atLeast"/>
        <w:jc w:val="center"/>
        <w:rPr>
          <w:rFonts w:ascii="仿宋" w:eastAsia="仿宋" w:hAnsi="仿宋"/>
          <w:sz w:val="28"/>
          <w:szCs w:val="28"/>
        </w:rPr>
      </w:pPr>
      <w:r w:rsidRPr="0069664D">
        <w:rPr>
          <w:rStyle w:val="a4"/>
          <w:rFonts w:ascii="仿宋" w:eastAsia="仿宋" w:hAnsi="仿宋" w:cs="宋体" w:hint="eastAsia"/>
          <w:sz w:val="28"/>
          <w:szCs w:val="28"/>
          <w:shd w:val="clear" w:color="auto" w:fill="FFFFFF"/>
        </w:rPr>
        <w:t>第十二章  附则</w:t>
      </w:r>
    </w:p>
    <w:p w:rsidR="00BB6D87" w:rsidRPr="00F35CB7" w:rsidRDefault="00BB6D87">
      <w:pPr>
        <w:pStyle w:val="a3"/>
        <w:spacing w:line="360" w:lineRule="atLeast"/>
        <w:rPr>
          <w:rFonts w:ascii="仿宋" w:eastAsia="仿宋" w:hAnsi="仿宋" w:cs="宋体"/>
          <w:color w:val="000000" w:themeColor="text1"/>
          <w:sz w:val="28"/>
          <w:szCs w:val="28"/>
          <w:shd w:val="clear" w:color="auto" w:fill="FFFFFF"/>
        </w:rPr>
      </w:pPr>
      <w:r w:rsidRPr="00F35CB7">
        <w:rPr>
          <w:rFonts w:ascii="仿宋" w:eastAsia="仿宋" w:hAnsi="仿宋" w:cs="宋体" w:hint="eastAsia"/>
          <w:color w:val="000000" w:themeColor="text1"/>
          <w:sz w:val="28"/>
          <w:szCs w:val="28"/>
          <w:shd w:val="clear" w:color="auto" w:fill="FFFFFF"/>
        </w:rPr>
        <w:t>第三十七条  试点地方、部门</w:t>
      </w:r>
      <w:r w:rsidR="005148B4" w:rsidRPr="00F35CB7">
        <w:rPr>
          <w:rFonts w:ascii="仿宋" w:eastAsia="仿宋" w:hAnsi="仿宋" w:cs="宋体" w:hint="eastAsia"/>
          <w:color w:val="000000" w:themeColor="text1"/>
          <w:sz w:val="28"/>
          <w:szCs w:val="28"/>
          <w:shd w:val="clear" w:color="auto" w:fill="FFFFFF"/>
        </w:rPr>
        <w:t>、学会及</w:t>
      </w:r>
      <w:r w:rsidRPr="00F35CB7">
        <w:rPr>
          <w:rFonts w:ascii="仿宋" w:eastAsia="仿宋" w:hAnsi="仿宋" w:cs="宋体" w:hint="eastAsia"/>
          <w:color w:val="000000" w:themeColor="text1"/>
          <w:sz w:val="28"/>
          <w:szCs w:val="28"/>
          <w:shd w:val="clear" w:color="auto" w:fill="FFFFFF"/>
        </w:rPr>
        <w:t>协会可根据本办法，结合各自实际制定具体实施办法。</w:t>
      </w:r>
    </w:p>
    <w:p w:rsidR="00FF452D" w:rsidRPr="004A57DB" w:rsidRDefault="00BB6D87">
      <w:pPr>
        <w:pStyle w:val="a3"/>
        <w:spacing w:line="360" w:lineRule="atLeast"/>
        <w:rPr>
          <w:rFonts w:ascii="仿宋" w:eastAsia="仿宋" w:hAnsi="仿宋" w:cs="宋体"/>
          <w:sz w:val="28"/>
          <w:szCs w:val="28"/>
          <w:shd w:val="clear" w:color="auto" w:fill="FFFFFF"/>
        </w:rPr>
      </w:pPr>
      <w:r w:rsidRPr="0069664D">
        <w:rPr>
          <w:rFonts w:ascii="仿宋" w:eastAsia="仿宋" w:hAnsi="仿宋" w:cs="宋体" w:hint="eastAsia"/>
          <w:sz w:val="28"/>
          <w:szCs w:val="28"/>
          <w:shd w:val="clear" w:color="auto" w:fill="FFFFFF"/>
        </w:rPr>
        <w:lastRenderedPageBreak/>
        <w:t>第三十八条  本办法</w:t>
      </w:r>
      <w:proofErr w:type="gramStart"/>
      <w:r w:rsidRPr="0069664D">
        <w:rPr>
          <w:rFonts w:ascii="仿宋" w:eastAsia="仿宋" w:hAnsi="仿宋" w:cs="宋体" w:hint="eastAsia"/>
          <w:sz w:val="28"/>
          <w:szCs w:val="28"/>
          <w:shd w:val="clear" w:color="auto" w:fill="FFFFFF"/>
        </w:rPr>
        <w:t>自试点</w:t>
      </w:r>
      <w:proofErr w:type="gramEnd"/>
      <w:r w:rsidRPr="0069664D">
        <w:rPr>
          <w:rFonts w:ascii="仿宋" w:eastAsia="仿宋" w:hAnsi="仿宋" w:cs="宋体" w:hint="eastAsia"/>
          <w:sz w:val="28"/>
          <w:szCs w:val="28"/>
          <w:shd w:val="clear" w:color="auto" w:fill="FFFFFF"/>
        </w:rPr>
        <w:t>工作正式启动之日起施行。</w:t>
      </w:r>
    </w:p>
    <w:p w:rsidR="008B378B" w:rsidRPr="004A57DB" w:rsidRDefault="008B378B">
      <w:pPr>
        <w:rPr>
          <w:rFonts w:ascii="仿宋" w:eastAsia="仿宋" w:hAnsi="仿宋" w:cs="宋体"/>
          <w:sz w:val="28"/>
          <w:szCs w:val="28"/>
          <w:shd w:val="clear" w:color="auto" w:fill="FFFFFF"/>
        </w:rPr>
      </w:pPr>
      <w:r w:rsidRPr="004A57DB">
        <w:rPr>
          <w:rFonts w:ascii="仿宋" w:eastAsia="仿宋" w:hAnsi="仿宋" w:cs="宋体"/>
          <w:sz w:val="28"/>
          <w:szCs w:val="28"/>
          <w:shd w:val="clear" w:color="auto" w:fill="FFFFFF"/>
        </w:rPr>
        <w:br w:type="page"/>
      </w:r>
    </w:p>
    <w:p w:rsidR="008B378B" w:rsidRPr="004A57DB" w:rsidRDefault="008B378B" w:rsidP="008B378B">
      <w:pPr>
        <w:pStyle w:val="CM2"/>
        <w:spacing w:after="0"/>
        <w:rPr>
          <w:rFonts w:ascii="黑体" w:eastAsia="黑体" w:cs="仿宋_GB2312"/>
          <w:sz w:val="32"/>
          <w:szCs w:val="32"/>
        </w:rPr>
      </w:pPr>
      <w:r w:rsidRPr="004A57DB">
        <w:rPr>
          <w:rFonts w:ascii="黑体" w:eastAsia="黑体" w:cs="仿宋_GB2312" w:hint="eastAsia"/>
          <w:sz w:val="32"/>
          <w:szCs w:val="32"/>
        </w:rPr>
        <w:lastRenderedPageBreak/>
        <w:t>附表1</w:t>
      </w:r>
    </w:p>
    <w:p w:rsidR="008B378B" w:rsidRPr="004A57DB" w:rsidRDefault="008B378B" w:rsidP="008B378B">
      <w:pPr>
        <w:pStyle w:val="CM2"/>
        <w:spacing w:after="0"/>
        <w:jc w:val="center"/>
        <w:rPr>
          <w:rFonts w:ascii="黑体" w:eastAsia="黑体" w:cs="仿宋_GB2312"/>
          <w:sz w:val="36"/>
          <w:szCs w:val="32"/>
        </w:rPr>
      </w:pPr>
      <w:r w:rsidRPr="004A57DB">
        <w:rPr>
          <w:rFonts w:ascii="黑体" w:eastAsia="黑体" w:cs="仿宋_GB2312" w:hint="eastAsia"/>
          <w:sz w:val="36"/>
          <w:szCs w:val="32"/>
        </w:rPr>
        <w:t>技术开发类应用技术成果评价指标</w:t>
      </w:r>
    </w:p>
    <w:tbl>
      <w:tblPr>
        <w:tblW w:w="10089" w:type="dxa"/>
        <w:jc w:val="center"/>
        <w:tblBorders>
          <w:top w:val="nil"/>
          <w:left w:val="nil"/>
          <w:bottom w:val="nil"/>
          <w:right w:val="nil"/>
        </w:tblBorders>
        <w:tblLook w:val="0000" w:firstRow="0" w:lastRow="0" w:firstColumn="0" w:lastColumn="0" w:noHBand="0" w:noVBand="0"/>
      </w:tblPr>
      <w:tblGrid>
        <w:gridCol w:w="1585"/>
        <w:gridCol w:w="3089"/>
        <w:gridCol w:w="730"/>
        <w:gridCol w:w="1656"/>
        <w:gridCol w:w="1611"/>
        <w:gridCol w:w="1418"/>
      </w:tblGrid>
      <w:tr w:rsidR="004A57DB" w:rsidRPr="004A57DB" w:rsidTr="001F4B4C">
        <w:trPr>
          <w:trHeight w:val="338"/>
          <w:jc w:val="center"/>
        </w:trPr>
        <w:tc>
          <w:tcPr>
            <w:tcW w:w="1585" w:type="dxa"/>
            <w:tcBorders>
              <w:top w:val="single" w:sz="6" w:space="0" w:color="000000"/>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量化评价指标</w:t>
            </w:r>
          </w:p>
        </w:tc>
        <w:tc>
          <w:tcPr>
            <w:tcW w:w="3089" w:type="dxa"/>
            <w:tcBorders>
              <w:top w:val="single" w:sz="6" w:space="0" w:color="000000"/>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指标含义</w:t>
            </w:r>
          </w:p>
        </w:tc>
        <w:tc>
          <w:tcPr>
            <w:tcW w:w="730" w:type="dxa"/>
            <w:tcBorders>
              <w:top w:val="single" w:sz="6" w:space="0" w:color="000000"/>
              <w:left w:val="single" w:sz="6" w:space="0" w:color="000000"/>
              <w:bottom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权重</w:t>
            </w:r>
          </w:p>
        </w:tc>
        <w:tc>
          <w:tcPr>
            <w:tcW w:w="4685" w:type="dxa"/>
            <w:gridSpan w:val="3"/>
            <w:tcBorders>
              <w:top w:val="single" w:sz="6" w:space="0" w:color="000000"/>
              <w:left w:val="single" w:sz="4" w:space="0" w:color="auto"/>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ascii="Times New Roman" w:hint="eastAsia"/>
                <w:color w:val="auto"/>
                <w:sz w:val="21"/>
                <w:szCs w:val="21"/>
              </w:rPr>
              <w:t>评分标准</w:t>
            </w:r>
          </w:p>
        </w:tc>
      </w:tr>
      <w:tr w:rsidR="004A57DB" w:rsidRPr="004A57DB" w:rsidTr="001F4B4C">
        <w:trPr>
          <w:trHeight w:val="337"/>
          <w:jc w:val="center"/>
        </w:trPr>
        <w:tc>
          <w:tcPr>
            <w:tcW w:w="1585"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技术创新程度</w:t>
            </w:r>
          </w:p>
        </w:tc>
        <w:tc>
          <w:tcPr>
            <w:tcW w:w="3089"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在技术开发中解决关键技术难题并取得技术突破，掌握核心技术并进行集成创新的程度，自主创新技术在总体技术中的比重。</w:t>
            </w:r>
          </w:p>
        </w:tc>
        <w:tc>
          <w:tcPr>
            <w:tcW w:w="730"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25</w:t>
            </w:r>
          </w:p>
        </w:tc>
        <w:tc>
          <w:tcPr>
            <w:tcW w:w="1656"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5~23</w:t>
            </w:r>
            <w:r w:rsidRPr="004A57DB">
              <w:rPr>
                <w:rFonts w:hint="eastAsia"/>
                <w:color w:val="auto"/>
                <w:sz w:val="21"/>
                <w:szCs w:val="21"/>
              </w:rPr>
              <w:t>分</w:t>
            </w:r>
          </w:p>
        </w:tc>
        <w:tc>
          <w:tcPr>
            <w:tcW w:w="1611"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2~15</w:t>
            </w:r>
            <w:r w:rsidRPr="004A57DB">
              <w:rPr>
                <w:rFonts w:hint="eastAsia"/>
                <w:color w:val="auto"/>
                <w:sz w:val="21"/>
                <w:szCs w:val="21"/>
              </w:rPr>
              <w:t>分</w:t>
            </w:r>
          </w:p>
        </w:tc>
        <w:tc>
          <w:tcPr>
            <w:tcW w:w="1418"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14~0</w:t>
            </w:r>
            <w:r w:rsidRPr="004A57DB">
              <w:rPr>
                <w:rFonts w:hint="eastAsia"/>
                <w:color w:val="auto"/>
                <w:sz w:val="21"/>
                <w:szCs w:val="21"/>
              </w:rPr>
              <w:t>分</w:t>
            </w:r>
          </w:p>
        </w:tc>
      </w:tr>
      <w:tr w:rsidR="004A57DB" w:rsidRPr="004A57DB" w:rsidTr="001F4B4C">
        <w:trPr>
          <w:trHeight w:val="1109"/>
          <w:jc w:val="center"/>
        </w:trPr>
        <w:tc>
          <w:tcPr>
            <w:tcW w:w="1585"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89" w:type="dxa"/>
            <w:vMerge/>
            <w:tcBorders>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p>
        </w:tc>
        <w:tc>
          <w:tcPr>
            <w:tcW w:w="730"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56"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有重大突破或创新，且完全自主创新</w:t>
            </w:r>
          </w:p>
        </w:tc>
        <w:tc>
          <w:tcPr>
            <w:tcW w:w="16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有明显突破或创新，多项技术自主创新</w:t>
            </w:r>
          </w:p>
        </w:tc>
        <w:tc>
          <w:tcPr>
            <w:tcW w:w="1418"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创新程度一般，单项技术有创新</w:t>
            </w:r>
          </w:p>
        </w:tc>
      </w:tr>
      <w:tr w:rsidR="004A57DB" w:rsidRPr="004A57DB" w:rsidTr="001F4B4C">
        <w:trPr>
          <w:trHeight w:val="299"/>
          <w:jc w:val="center"/>
        </w:trPr>
        <w:tc>
          <w:tcPr>
            <w:tcW w:w="1585"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技术经济指标的先进程度</w:t>
            </w:r>
          </w:p>
        </w:tc>
        <w:tc>
          <w:tcPr>
            <w:tcW w:w="3089"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与国内外最先进技术相比其总体技术水平、主要技术（性能、性状、工艺参数等）、经济（投入产出比、性能价格比、成本、规模等）、环境、生态等指标所处的位置。</w:t>
            </w:r>
          </w:p>
        </w:tc>
        <w:tc>
          <w:tcPr>
            <w:tcW w:w="730"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20</w:t>
            </w:r>
          </w:p>
        </w:tc>
        <w:tc>
          <w:tcPr>
            <w:tcW w:w="1656"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0~18</w:t>
            </w:r>
            <w:r w:rsidRPr="004A57DB">
              <w:rPr>
                <w:rFonts w:hint="eastAsia"/>
                <w:color w:val="auto"/>
                <w:sz w:val="21"/>
                <w:szCs w:val="21"/>
              </w:rPr>
              <w:t>分</w:t>
            </w:r>
          </w:p>
        </w:tc>
        <w:tc>
          <w:tcPr>
            <w:tcW w:w="1611"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17~12</w:t>
            </w:r>
            <w:r w:rsidRPr="004A57DB">
              <w:rPr>
                <w:rFonts w:hint="eastAsia"/>
                <w:color w:val="auto"/>
                <w:sz w:val="21"/>
                <w:szCs w:val="21"/>
              </w:rPr>
              <w:t>分</w:t>
            </w:r>
          </w:p>
        </w:tc>
        <w:tc>
          <w:tcPr>
            <w:tcW w:w="1418"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11~0</w:t>
            </w:r>
            <w:r w:rsidRPr="004A57DB">
              <w:rPr>
                <w:rFonts w:hint="eastAsia"/>
                <w:color w:val="auto"/>
                <w:sz w:val="21"/>
                <w:szCs w:val="21"/>
              </w:rPr>
              <w:t>分</w:t>
            </w:r>
          </w:p>
        </w:tc>
      </w:tr>
      <w:tr w:rsidR="004A57DB" w:rsidRPr="004A57DB" w:rsidTr="001F4B4C">
        <w:trPr>
          <w:trHeight w:val="1315"/>
          <w:jc w:val="center"/>
        </w:trPr>
        <w:tc>
          <w:tcPr>
            <w:tcW w:w="1585"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89" w:type="dxa"/>
            <w:vMerge/>
            <w:tcBorders>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p>
        </w:tc>
        <w:tc>
          <w:tcPr>
            <w:tcW w:w="730"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56"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达到同类技术领先水平</w:t>
            </w:r>
          </w:p>
        </w:tc>
        <w:tc>
          <w:tcPr>
            <w:tcW w:w="16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达到同类技术先进水平</w:t>
            </w:r>
          </w:p>
        </w:tc>
        <w:tc>
          <w:tcPr>
            <w:tcW w:w="1418"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接近同类技术先进水平</w:t>
            </w:r>
          </w:p>
        </w:tc>
      </w:tr>
      <w:tr w:rsidR="004A57DB" w:rsidRPr="004A57DB" w:rsidTr="001F4B4C">
        <w:trPr>
          <w:trHeight w:val="208"/>
          <w:jc w:val="center"/>
        </w:trPr>
        <w:tc>
          <w:tcPr>
            <w:tcW w:w="1585"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技术难度和复杂程度</w:t>
            </w:r>
          </w:p>
        </w:tc>
        <w:tc>
          <w:tcPr>
            <w:tcW w:w="3089"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指技术实现对理论、模型、算法及其它技术的依赖程度，以及与现有技术相比较超越程度。</w:t>
            </w:r>
          </w:p>
        </w:tc>
        <w:tc>
          <w:tcPr>
            <w:tcW w:w="730"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10</w:t>
            </w:r>
          </w:p>
        </w:tc>
        <w:tc>
          <w:tcPr>
            <w:tcW w:w="1656"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10~9</w:t>
            </w:r>
            <w:r w:rsidRPr="004A57DB">
              <w:rPr>
                <w:rFonts w:hint="eastAsia"/>
                <w:color w:val="auto"/>
                <w:sz w:val="21"/>
                <w:szCs w:val="21"/>
              </w:rPr>
              <w:t>分</w:t>
            </w:r>
          </w:p>
        </w:tc>
        <w:tc>
          <w:tcPr>
            <w:tcW w:w="1611"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8~6</w:t>
            </w:r>
            <w:r w:rsidRPr="004A57DB">
              <w:rPr>
                <w:rFonts w:hint="eastAsia"/>
                <w:color w:val="auto"/>
                <w:sz w:val="21"/>
                <w:szCs w:val="21"/>
              </w:rPr>
              <w:t>分</w:t>
            </w:r>
          </w:p>
        </w:tc>
        <w:tc>
          <w:tcPr>
            <w:tcW w:w="1418"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5~0</w:t>
            </w:r>
            <w:r w:rsidRPr="004A57DB">
              <w:rPr>
                <w:rFonts w:hint="eastAsia"/>
                <w:color w:val="auto"/>
                <w:sz w:val="21"/>
                <w:szCs w:val="21"/>
              </w:rPr>
              <w:t>分</w:t>
            </w:r>
          </w:p>
        </w:tc>
      </w:tr>
      <w:tr w:rsidR="004A57DB" w:rsidRPr="004A57DB" w:rsidTr="001F4B4C">
        <w:trPr>
          <w:trHeight w:val="694"/>
          <w:jc w:val="center"/>
        </w:trPr>
        <w:tc>
          <w:tcPr>
            <w:tcW w:w="1585"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89"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0"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56"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在自创的理论、模型等支撑下的技术实现</w:t>
            </w:r>
          </w:p>
        </w:tc>
        <w:tc>
          <w:tcPr>
            <w:tcW w:w="16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引入跨领域的技术得以实现</w:t>
            </w:r>
          </w:p>
        </w:tc>
        <w:tc>
          <w:tcPr>
            <w:tcW w:w="1418"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在现有技术基础上的改进</w:t>
            </w:r>
          </w:p>
        </w:tc>
      </w:tr>
      <w:tr w:rsidR="004A57DB" w:rsidRPr="004A57DB" w:rsidTr="001F4B4C">
        <w:trPr>
          <w:trHeight w:val="253"/>
          <w:jc w:val="center"/>
        </w:trPr>
        <w:tc>
          <w:tcPr>
            <w:tcW w:w="1585"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技术重现性和成熟度</w:t>
            </w:r>
          </w:p>
        </w:tc>
        <w:tc>
          <w:tcPr>
            <w:tcW w:w="3089"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该技术已经形成生产能力或达到实际应用的程度，包括技术的稳定、可靠性等。</w:t>
            </w:r>
          </w:p>
        </w:tc>
        <w:tc>
          <w:tcPr>
            <w:tcW w:w="730"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56"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611"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418"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226"/>
          <w:jc w:val="center"/>
        </w:trPr>
        <w:tc>
          <w:tcPr>
            <w:tcW w:w="1585"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89" w:type="dxa"/>
            <w:vMerge/>
            <w:tcBorders>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p>
        </w:tc>
        <w:tc>
          <w:tcPr>
            <w:tcW w:w="730"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56"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已实现规模化生产，成果的转化程度高</w:t>
            </w:r>
          </w:p>
        </w:tc>
        <w:tc>
          <w:tcPr>
            <w:tcW w:w="16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已实际生产，成果的转化程度较高</w:t>
            </w:r>
          </w:p>
        </w:tc>
        <w:tc>
          <w:tcPr>
            <w:tcW w:w="1418"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技术基本成熟完备</w:t>
            </w:r>
          </w:p>
        </w:tc>
      </w:tr>
      <w:tr w:rsidR="004A57DB" w:rsidRPr="004A57DB" w:rsidTr="001F4B4C">
        <w:trPr>
          <w:trHeight w:val="299"/>
          <w:jc w:val="center"/>
        </w:trPr>
        <w:tc>
          <w:tcPr>
            <w:tcW w:w="1585"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技术创新对推动科技进步和提高市场竞争能力的作用</w:t>
            </w:r>
          </w:p>
        </w:tc>
        <w:tc>
          <w:tcPr>
            <w:tcW w:w="3089"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指自主研发的关键技术对解决行业、区域发展的重点、难点和关键问题，推动产业结构调整和优化升级，提高企业和相关行业竞争能力，实现行业技术跨越和技术进步的作用和市场竞争中发挥作用的情况。</w:t>
            </w:r>
          </w:p>
        </w:tc>
        <w:tc>
          <w:tcPr>
            <w:tcW w:w="730"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10</w:t>
            </w:r>
          </w:p>
        </w:tc>
        <w:tc>
          <w:tcPr>
            <w:tcW w:w="1656"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10~9</w:t>
            </w:r>
            <w:r w:rsidRPr="004A57DB">
              <w:rPr>
                <w:rFonts w:hint="eastAsia"/>
                <w:color w:val="auto"/>
                <w:sz w:val="21"/>
                <w:szCs w:val="21"/>
              </w:rPr>
              <w:t>分</w:t>
            </w:r>
          </w:p>
        </w:tc>
        <w:tc>
          <w:tcPr>
            <w:tcW w:w="1611"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8~6</w:t>
            </w:r>
            <w:r w:rsidRPr="004A57DB">
              <w:rPr>
                <w:rFonts w:hint="eastAsia"/>
                <w:color w:val="auto"/>
                <w:sz w:val="21"/>
                <w:szCs w:val="21"/>
              </w:rPr>
              <w:t>分</w:t>
            </w:r>
          </w:p>
        </w:tc>
        <w:tc>
          <w:tcPr>
            <w:tcW w:w="1418"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5~0</w:t>
            </w:r>
            <w:r w:rsidRPr="004A57DB">
              <w:rPr>
                <w:rFonts w:hint="eastAsia"/>
                <w:color w:val="auto"/>
                <w:sz w:val="21"/>
                <w:szCs w:val="21"/>
              </w:rPr>
              <w:t>分</w:t>
            </w:r>
          </w:p>
        </w:tc>
      </w:tr>
      <w:tr w:rsidR="004A57DB" w:rsidRPr="004A57DB" w:rsidTr="001F4B4C">
        <w:trPr>
          <w:trHeight w:val="2297"/>
          <w:jc w:val="center"/>
        </w:trPr>
        <w:tc>
          <w:tcPr>
            <w:tcW w:w="1585" w:type="dxa"/>
            <w:vMerge/>
            <w:tcBorders>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89" w:type="dxa"/>
            <w:vMerge/>
            <w:tcBorders>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0" w:type="dxa"/>
            <w:vMerge/>
            <w:tcBorders>
              <w:left w:val="single" w:sz="6" w:space="0" w:color="000000"/>
              <w:bottom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56" w:type="dxa"/>
            <w:tcBorders>
              <w:top w:val="single" w:sz="4" w:space="0" w:color="auto"/>
              <w:left w:val="single" w:sz="4" w:space="0" w:color="auto"/>
              <w:bottom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显著促进行业科技进步，市场需求度高，具有国际市场竞争优势</w:t>
            </w:r>
          </w:p>
        </w:tc>
        <w:tc>
          <w:tcPr>
            <w:tcW w:w="1611" w:type="dxa"/>
            <w:tcBorders>
              <w:top w:val="single" w:sz="4" w:space="0" w:color="auto"/>
              <w:left w:val="single" w:sz="6" w:space="0" w:color="000000"/>
              <w:bottom w:val="single" w:sz="5"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推动行业科技进步作用明显，市场需求度高，具有国内市场竞争优势</w:t>
            </w:r>
          </w:p>
        </w:tc>
        <w:tc>
          <w:tcPr>
            <w:tcW w:w="1418" w:type="dxa"/>
            <w:tcBorders>
              <w:top w:val="single" w:sz="4" w:space="0" w:color="auto"/>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对行业推动作用一般，有一定市场需求与竞争能力</w:t>
            </w:r>
          </w:p>
        </w:tc>
      </w:tr>
      <w:tr w:rsidR="004A57DB" w:rsidRPr="004A57DB" w:rsidTr="001F4B4C">
        <w:trPr>
          <w:trHeight w:val="424"/>
          <w:jc w:val="center"/>
        </w:trPr>
        <w:tc>
          <w:tcPr>
            <w:tcW w:w="1585"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经济或社会效益</w:t>
            </w:r>
          </w:p>
        </w:tc>
        <w:tc>
          <w:tcPr>
            <w:tcW w:w="3089"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直接经济效益和间接经济效益，包括主要完成单位已经通过技术转让、增收节支、提高效益、降低成本获得的新增利润、税收的金额及他人由于使用该项技术而产生的经济效益。</w:t>
            </w:r>
          </w:p>
        </w:tc>
        <w:tc>
          <w:tcPr>
            <w:tcW w:w="730"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20</w:t>
            </w:r>
          </w:p>
        </w:tc>
        <w:tc>
          <w:tcPr>
            <w:tcW w:w="1656"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0~18</w:t>
            </w:r>
            <w:r w:rsidRPr="004A57DB">
              <w:rPr>
                <w:rFonts w:hint="eastAsia"/>
                <w:color w:val="auto"/>
                <w:sz w:val="21"/>
                <w:szCs w:val="21"/>
              </w:rPr>
              <w:t>分</w:t>
            </w:r>
          </w:p>
        </w:tc>
        <w:tc>
          <w:tcPr>
            <w:tcW w:w="1611"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17~12</w:t>
            </w:r>
            <w:r w:rsidRPr="004A57DB">
              <w:rPr>
                <w:rFonts w:hint="eastAsia"/>
                <w:color w:val="auto"/>
                <w:sz w:val="21"/>
                <w:szCs w:val="21"/>
              </w:rPr>
              <w:t>分</w:t>
            </w:r>
          </w:p>
        </w:tc>
        <w:tc>
          <w:tcPr>
            <w:tcW w:w="1418"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11~0</w:t>
            </w:r>
            <w:r w:rsidRPr="004A57DB">
              <w:rPr>
                <w:rFonts w:hint="eastAsia"/>
                <w:color w:val="auto"/>
                <w:sz w:val="21"/>
                <w:szCs w:val="21"/>
              </w:rPr>
              <w:t>分</w:t>
            </w:r>
          </w:p>
        </w:tc>
      </w:tr>
      <w:tr w:rsidR="004A57DB" w:rsidRPr="004A57DB" w:rsidTr="001F4B4C">
        <w:trPr>
          <w:trHeight w:val="1544"/>
          <w:jc w:val="center"/>
        </w:trPr>
        <w:tc>
          <w:tcPr>
            <w:tcW w:w="1585" w:type="dxa"/>
            <w:vMerge/>
            <w:tcBorders>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89" w:type="dxa"/>
            <w:vMerge/>
            <w:tcBorders>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p>
        </w:tc>
        <w:tc>
          <w:tcPr>
            <w:tcW w:w="730" w:type="dxa"/>
            <w:vMerge/>
            <w:tcBorders>
              <w:left w:val="single" w:sz="6" w:space="0" w:color="000000"/>
              <w:bottom w:val="single" w:sz="4" w:space="0" w:color="auto"/>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56" w:type="dxa"/>
            <w:tcBorders>
              <w:top w:val="single" w:sz="4" w:space="0" w:color="auto"/>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经济效益显著</w:t>
            </w:r>
          </w:p>
        </w:tc>
        <w:tc>
          <w:tcPr>
            <w:tcW w:w="1611" w:type="dxa"/>
            <w:tcBorders>
              <w:top w:val="single" w:sz="4" w:space="0" w:color="auto"/>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经济效益明显</w:t>
            </w:r>
          </w:p>
        </w:tc>
        <w:tc>
          <w:tcPr>
            <w:tcW w:w="1418" w:type="dxa"/>
            <w:tcBorders>
              <w:top w:val="single" w:sz="4" w:space="0" w:color="auto"/>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经济效益一般</w:t>
            </w:r>
          </w:p>
        </w:tc>
      </w:tr>
    </w:tbl>
    <w:p w:rsidR="008B378B" w:rsidRPr="004A57DB" w:rsidRDefault="008B378B" w:rsidP="008B378B">
      <w:pPr>
        <w:rPr>
          <w:rFonts w:ascii="黑体" w:eastAsia="黑体" w:cs="仿宋_GB2312"/>
          <w:sz w:val="32"/>
          <w:szCs w:val="32"/>
        </w:rPr>
      </w:pPr>
      <w:r w:rsidRPr="004A57DB">
        <w:rPr>
          <w:rFonts w:ascii="Times New Roman" w:eastAsia="仿宋_GB2312" w:hAnsi="Times New Roman"/>
          <w:kern w:val="2"/>
          <w:sz w:val="28"/>
        </w:rPr>
        <w:br w:type="page"/>
      </w:r>
      <w:r w:rsidRPr="004A57DB">
        <w:rPr>
          <w:rFonts w:ascii="黑体" w:eastAsia="黑体" w:cs="仿宋_GB2312" w:hint="eastAsia"/>
          <w:sz w:val="32"/>
          <w:szCs w:val="32"/>
        </w:rPr>
        <w:lastRenderedPageBreak/>
        <w:t>附表2</w:t>
      </w:r>
    </w:p>
    <w:p w:rsidR="008B378B" w:rsidRPr="004A57DB" w:rsidRDefault="008B378B" w:rsidP="008B378B">
      <w:pPr>
        <w:pStyle w:val="CM2"/>
        <w:spacing w:afterLines="50" w:after="156"/>
        <w:jc w:val="center"/>
        <w:rPr>
          <w:rFonts w:ascii="黑体" w:eastAsia="黑体" w:cs="仿宋_GB2312"/>
          <w:sz w:val="36"/>
          <w:szCs w:val="32"/>
        </w:rPr>
      </w:pPr>
      <w:r w:rsidRPr="0069664D">
        <w:rPr>
          <w:rFonts w:ascii="黑体" w:eastAsia="黑体" w:hint="eastAsia"/>
          <w:sz w:val="36"/>
          <w:szCs w:val="32"/>
        </w:rPr>
        <w:t>社会公益</w:t>
      </w:r>
      <w:r w:rsidRPr="0069664D">
        <w:rPr>
          <w:rFonts w:ascii="黑体" w:eastAsia="黑体" w:cs="仿宋_GB2312" w:hint="eastAsia"/>
          <w:sz w:val="36"/>
          <w:szCs w:val="32"/>
        </w:rPr>
        <w:t>类应</w:t>
      </w:r>
      <w:r w:rsidRPr="004A57DB">
        <w:rPr>
          <w:rFonts w:ascii="黑体" w:eastAsia="黑体" w:cs="仿宋_GB2312" w:hint="eastAsia"/>
          <w:sz w:val="36"/>
          <w:szCs w:val="32"/>
        </w:rPr>
        <w:t>用技术成果评价指标</w:t>
      </w:r>
    </w:p>
    <w:tbl>
      <w:tblPr>
        <w:tblW w:w="10232" w:type="dxa"/>
        <w:jc w:val="center"/>
        <w:tblBorders>
          <w:top w:val="nil"/>
          <w:left w:val="nil"/>
          <w:bottom w:val="nil"/>
          <w:right w:val="nil"/>
        </w:tblBorders>
        <w:tblLayout w:type="fixed"/>
        <w:tblLook w:val="0000" w:firstRow="0" w:lastRow="0" w:firstColumn="0" w:lastColumn="0" w:noHBand="0" w:noVBand="0"/>
      </w:tblPr>
      <w:tblGrid>
        <w:gridCol w:w="1617"/>
        <w:gridCol w:w="3153"/>
        <w:gridCol w:w="749"/>
        <w:gridCol w:w="1673"/>
        <w:gridCol w:w="1566"/>
        <w:gridCol w:w="1474"/>
      </w:tblGrid>
      <w:tr w:rsidR="004A57DB" w:rsidRPr="004A57DB" w:rsidTr="001F4B4C">
        <w:trPr>
          <w:trHeight w:val="361"/>
          <w:jc w:val="center"/>
        </w:trPr>
        <w:tc>
          <w:tcPr>
            <w:tcW w:w="1617" w:type="dxa"/>
            <w:tcBorders>
              <w:top w:val="single" w:sz="6" w:space="0" w:color="000000"/>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量化评价指标</w:t>
            </w:r>
          </w:p>
        </w:tc>
        <w:tc>
          <w:tcPr>
            <w:tcW w:w="3153" w:type="dxa"/>
            <w:tcBorders>
              <w:top w:val="single" w:sz="6" w:space="0" w:color="000000"/>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指标含义</w:t>
            </w:r>
          </w:p>
        </w:tc>
        <w:tc>
          <w:tcPr>
            <w:tcW w:w="749" w:type="dxa"/>
            <w:tcBorders>
              <w:top w:val="single" w:sz="6" w:space="0" w:color="000000"/>
              <w:left w:val="single" w:sz="6" w:space="0" w:color="000000"/>
              <w:bottom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权重</w:t>
            </w:r>
          </w:p>
        </w:tc>
        <w:tc>
          <w:tcPr>
            <w:tcW w:w="4713" w:type="dxa"/>
            <w:gridSpan w:val="3"/>
            <w:tcBorders>
              <w:top w:val="single" w:sz="6" w:space="0" w:color="000000"/>
              <w:left w:val="single" w:sz="4" w:space="0" w:color="auto"/>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ascii="Times New Roman" w:hint="eastAsia"/>
                <w:color w:val="auto"/>
                <w:sz w:val="21"/>
                <w:szCs w:val="21"/>
              </w:rPr>
              <w:t>评分标准</w:t>
            </w:r>
          </w:p>
        </w:tc>
      </w:tr>
      <w:tr w:rsidR="004A57DB" w:rsidRPr="004A57DB" w:rsidTr="001F4B4C">
        <w:trPr>
          <w:trHeight w:val="218"/>
          <w:jc w:val="center"/>
        </w:trPr>
        <w:tc>
          <w:tcPr>
            <w:tcW w:w="161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技术创新程度</w:t>
            </w:r>
          </w:p>
        </w:tc>
        <w:tc>
          <w:tcPr>
            <w:tcW w:w="3153"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在科学研究和技术开发中取得的进展和创新程度，包括建立新技术、新方法、新装置，掌握新规律，及进行系统集成创新等。</w:t>
            </w:r>
          </w:p>
        </w:tc>
        <w:tc>
          <w:tcPr>
            <w:tcW w:w="749"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25</w:t>
            </w:r>
          </w:p>
        </w:tc>
        <w:tc>
          <w:tcPr>
            <w:tcW w:w="1673"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5~23</w:t>
            </w:r>
            <w:r w:rsidRPr="004A57DB">
              <w:rPr>
                <w:rFonts w:hint="eastAsia"/>
                <w:color w:val="auto"/>
                <w:sz w:val="21"/>
                <w:szCs w:val="21"/>
              </w:rPr>
              <w:t>分</w:t>
            </w:r>
          </w:p>
        </w:tc>
        <w:tc>
          <w:tcPr>
            <w:tcW w:w="1566"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2~15</w:t>
            </w:r>
            <w:r w:rsidRPr="004A57DB">
              <w:rPr>
                <w:rFonts w:hint="eastAsia"/>
                <w:color w:val="auto"/>
                <w:sz w:val="21"/>
                <w:szCs w:val="21"/>
              </w:rPr>
              <w:t>分</w:t>
            </w:r>
          </w:p>
        </w:tc>
        <w:tc>
          <w:tcPr>
            <w:tcW w:w="1474"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14~0</w:t>
            </w:r>
            <w:r w:rsidRPr="004A57DB">
              <w:rPr>
                <w:rFonts w:hint="eastAsia"/>
                <w:color w:val="auto"/>
                <w:sz w:val="21"/>
                <w:szCs w:val="21"/>
              </w:rPr>
              <w:t>分</w:t>
            </w:r>
          </w:p>
        </w:tc>
      </w:tr>
      <w:tr w:rsidR="004A57DB" w:rsidRPr="004A57DB" w:rsidTr="001F4B4C">
        <w:trPr>
          <w:trHeight w:val="1239"/>
          <w:jc w:val="center"/>
        </w:trPr>
        <w:tc>
          <w:tcPr>
            <w:tcW w:w="161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153"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49"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73"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有重大突破或创新，且完全自主创新</w:t>
            </w:r>
          </w:p>
        </w:tc>
        <w:tc>
          <w:tcPr>
            <w:tcW w:w="1566"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有明显突破或创新，多项技术自主创新</w:t>
            </w:r>
          </w:p>
        </w:tc>
        <w:tc>
          <w:tcPr>
            <w:tcW w:w="1474"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创新程度一般，单项技术有创新</w:t>
            </w:r>
          </w:p>
        </w:tc>
      </w:tr>
      <w:tr w:rsidR="004A57DB" w:rsidRPr="004A57DB" w:rsidTr="001F4B4C">
        <w:trPr>
          <w:trHeight w:val="208"/>
          <w:jc w:val="center"/>
        </w:trPr>
        <w:tc>
          <w:tcPr>
            <w:tcW w:w="161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技术指标的先</w:t>
            </w:r>
          </w:p>
          <w:p w:rsidR="008B378B" w:rsidRPr="004A57DB" w:rsidRDefault="008B378B" w:rsidP="001F4B4C">
            <w:pPr>
              <w:pStyle w:val="Default"/>
              <w:snapToGrid w:val="0"/>
              <w:jc w:val="both"/>
              <w:rPr>
                <w:color w:val="auto"/>
              </w:rPr>
            </w:pPr>
            <w:proofErr w:type="gramStart"/>
            <w:r w:rsidRPr="004A57DB">
              <w:rPr>
                <w:rFonts w:hint="eastAsia"/>
                <w:color w:val="auto"/>
                <w:sz w:val="21"/>
                <w:szCs w:val="21"/>
              </w:rPr>
              <w:t>进程度</w:t>
            </w:r>
            <w:proofErr w:type="gramEnd"/>
          </w:p>
        </w:tc>
        <w:tc>
          <w:tcPr>
            <w:tcW w:w="3153"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与国内外同类技术、方法、装置比较，其性能、功能参数及总体技术指标等的水平。</w:t>
            </w:r>
          </w:p>
        </w:tc>
        <w:tc>
          <w:tcPr>
            <w:tcW w:w="749"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20</w:t>
            </w:r>
          </w:p>
        </w:tc>
        <w:tc>
          <w:tcPr>
            <w:tcW w:w="1673"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0~18</w:t>
            </w:r>
            <w:r w:rsidRPr="004A57DB">
              <w:rPr>
                <w:rFonts w:hint="eastAsia"/>
                <w:color w:val="auto"/>
                <w:sz w:val="21"/>
                <w:szCs w:val="21"/>
              </w:rPr>
              <w:t>分</w:t>
            </w:r>
          </w:p>
        </w:tc>
        <w:tc>
          <w:tcPr>
            <w:tcW w:w="1566"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17~12</w:t>
            </w:r>
            <w:r w:rsidRPr="004A57DB">
              <w:rPr>
                <w:rFonts w:hint="eastAsia"/>
                <w:color w:val="auto"/>
                <w:sz w:val="21"/>
                <w:szCs w:val="21"/>
              </w:rPr>
              <w:t>分</w:t>
            </w:r>
          </w:p>
        </w:tc>
        <w:tc>
          <w:tcPr>
            <w:tcW w:w="1474"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11~0</w:t>
            </w:r>
            <w:r w:rsidRPr="004A57DB">
              <w:rPr>
                <w:rFonts w:hint="eastAsia"/>
                <w:color w:val="auto"/>
                <w:sz w:val="21"/>
                <w:szCs w:val="21"/>
              </w:rPr>
              <w:t>分</w:t>
            </w:r>
          </w:p>
        </w:tc>
      </w:tr>
      <w:tr w:rsidR="004A57DB" w:rsidRPr="004A57DB" w:rsidTr="001F4B4C">
        <w:trPr>
          <w:trHeight w:val="891"/>
          <w:jc w:val="center"/>
        </w:trPr>
        <w:tc>
          <w:tcPr>
            <w:tcW w:w="161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153"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49"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73"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达到同类技术领先水平</w:t>
            </w:r>
          </w:p>
        </w:tc>
        <w:tc>
          <w:tcPr>
            <w:tcW w:w="1566"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达到同类技术先进水平</w:t>
            </w:r>
          </w:p>
        </w:tc>
        <w:tc>
          <w:tcPr>
            <w:tcW w:w="1474"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接近同类技术先进水平</w:t>
            </w:r>
          </w:p>
        </w:tc>
      </w:tr>
      <w:tr w:rsidR="004A57DB" w:rsidRPr="004A57DB" w:rsidTr="001F4B4C">
        <w:trPr>
          <w:trHeight w:val="185"/>
          <w:jc w:val="center"/>
        </w:trPr>
        <w:tc>
          <w:tcPr>
            <w:tcW w:w="161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技术难度和复杂程度</w:t>
            </w:r>
          </w:p>
        </w:tc>
        <w:tc>
          <w:tcPr>
            <w:tcW w:w="3153"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指项目研制开发的技术难度，包括涉及的专业领域范围、项目规模、需要解决的关键问题数量</w:t>
            </w:r>
          </w:p>
        </w:tc>
        <w:tc>
          <w:tcPr>
            <w:tcW w:w="749"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10</w:t>
            </w:r>
          </w:p>
        </w:tc>
        <w:tc>
          <w:tcPr>
            <w:tcW w:w="1673"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10~9</w:t>
            </w:r>
            <w:r w:rsidRPr="004A57DB">
              <w:rPr>
                <w:rFonts w:hint="eastAsia"/>
                <w:color w:val="auto"/>
                <w:sz w:val="21"/>
                <w:szCs w:val="21"/>
              </w:rPr>
              <w:t>分</w:t>
            </w:r>
          </w:p>
        </w:tc>
        <w:tc>
          <w:tcPr>
            <w:tcW w:w="1566"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8~6</w:t>
            </w:r>
            <w:r w:rsidRPr="004A57DB">
              <w:rPr>
                <w:rFonts w:hint="eastAsia"/>
                <w:color w:val="auto"/>
                <w:sz w:val="21"/>
                <w:szCs w:val="21"/>
              </w:rPr>
              <w:t>分</w:t>
            </w:r>
          </w:p>
        </w:tc>
        <w:tc>
          <w:tcPr>
            <w:tcW w:w="1474"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5~0</w:t>
            </w:r>
            <w:r w:rsidRPr="004A57DB">
              <w:rPr>
                <w:rFonts w:hint="eastAsia"/>
                <w:color w:val="auto"/>
                <w:sz w:val="21"/>
                <w:szCs w:val="21"/>
              </w:rPr>
              <w:t>分</w:t>
            </w:r>
          </w:p>
        </w:tc>
      </w:tr>
      <w:tr w:rsidR="004A57DB" w:rsidRPr="004A57DB" w:rsidTr="001F4B4C">
        <w:trPr>
          <w:trHeight w:val="879"/>
          <w:jc w:val="center"/>
        </w:trPr>
        <w:tc>
          <w:tcPr>
            <w:tcW w:w="161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153"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49"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73"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规模、难度非常大，非常复杂</w:t>
            </w:r>
          </w:p>
        </w:tc>
        <w:tc>
          <w:tcPr>
            <w:tcW w:w="1566"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规模、难度很大，很复杂</w:t>
            </w:r>
          </w:p>
        </w:tc>
        <w:tc>
          <w:tcPr>
            <w:tcW w:w="1474"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规模、难度，复杂程度一般</w:t>
            </w:r>
          </w:p>
        </w:tc>
      </w:tr>
      <w:tr w:rsidR="004A57DB" w:rsidRPr="004A57DB" w:rsidTr="001F4B4C">
        <w:trPr>
          <w:trHeight w:val="276"/>
          <w:jc w:val="center"/>
        </w:trPr>
        <w:tc>
          <w:tcPr>
            <w:tcW w:w="161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推广、应用程</w:t>
            </w:r>
          </w:p>
          <w:p w:rsidR="008B378B" w:rsidRPr="004A57DB" w:rsidRDefault="008B378B" w:rsidP="001F4B4C">
            <w:pPr>
              <w:pStyle w:val="Default"/>
              <w:snapToGrid w:val="0"/>
              <w:jc w:val="both"/>
              <w:rPr>
                <w:color w:val="auto"/>
                <w:sz w:val="21"/>
                <w:szCs w:val="21"/>
              </w:rPr>
            </w:pPr>
            <w:r w:rsidRPr="004A57DB">
              <w:rPr>
                <w:rFonts w:hint="eastAsia"/>
                <w:color w:val="auto"/>
                <w:sz w:val="21"/>
                <w:szCs w:val="21"/>
              </w:rPr>
              <w:t>度</w:t>
            </w:r>
          </w:p>
        </w:tc>
        <w:tc>
          <w:tcPr>
            <w:tcW w:w="3153"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项目的实用性、适用性和已经推广应用的范围。</w:t>
            </w:r>
          </w:p>
        </w:tc>
        <w:tc>
          <w:tcPr>
            <w:tcW w:w="749"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73"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566"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474"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327"/>
          <w:jc w:val="center"/>
        </w:trPr>
        <w:tc>
          <w:tcPr>
            <w:tcW w:w="161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153"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49"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73"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实用性很强，已广泛应用</w:t>
            </w:r>
          </w:p>
        </w:tc>
        <w:tc>
          <w:tcPr>
            <w:tcW w:w="1566"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实用性较强，已在较大范围应用</w:t>
            </w:r>
          </w:p>
        </w:tc>
        <w:tc>
          <w:tcPr>
            <w:tcW w:w="1474"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实用性一般，已经部分应用</w:t>
            </w:r>
          </w:p>
        </w:tc>
      </w:tr>
      <w:tr w:rsidR="004A57DB" w:rsidRPr="004A57DB" w:rsidTr="001F4B4C">
        <w:trPr>
          <w:trHeight w:val="322"/>
          <w:jc w:val="center"/>
        </w:trPr>
        <w:tc>
          <w:tcPr>
            <w:tcW w:w="161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对相关领域科技进步的推动作用</w:t>
            </w:r>
          </w:p>
        </w:tc>
        <w:tc>
          <w:tcPr>
            <w:tcW w:w="3153"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技术水平提高的幅度，和对解决行业、区域、学科发展的关键问题，实现技术跨越或技术进步，制定国家、行业（学科）标准，推动行业（学科）或区域科技进步的作用。</w:t>
            </w:r>
          </w:p>
        </w:tc>
        <w:tc>
          <w:tcPr>
            <w:tcW w:w="749"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73"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566"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474"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557"/>
          <w:jc w:val="center"/>
        </w:trPr>
        <w:tc>
          <w:tcPr>
            <w:tcW w:w="161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153"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49"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73"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实现重大技术跨越，对行业技术进步作用显著</w:t>
            </w:r>
          </w:p>
        </w:tc>
        <w:tc>
          <w:tcPr>
            <w:tcW w:w="1566"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技术水平明显提高，对行业科技进步作用明显</w:t>
            </w:r>
          </w:p>
        </w:tc>
        <w:tc>
          <w:tcPr>
            <w:tcW w:w="1474"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技术水平有所提高，对行业科技进步作用一般</w:t>
            </w:r>
          </w:p>
        </w:tc>
      </w:tr>
      <w:tr w:rsidR="004A57DB" w:rsidRPr="004A57DB" w:rsidTr="001F4B4C">
        <w:trPr>
          <w:trHeight w:val="457"/>
          <w:jc w:val="center"/>
        </w:trPr>
        <w:tc>
          <w:tcPr>
            <w:tcW w:w="161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社会效益</w:t>
            </w:r>
          </w:p>
        </w:tc>
        <w:tc>
          <w:tcPr>
            <w:tcW w:w="3153"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对提高科学研究基础建设水平和科学技术普及的贡献，或在环境、生态、资源保护与合理利用，提高人民生活质量和健康水平，防灾、减灾，保障经济、社会有序、持久发展等方面所取得的综合效益。</w:t>
            </w:r>
          </w:p>
        </w:tc>
        <w:tc>
          <w:tcPr>
            <w:tcW w:w="749"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73"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566" w:type="dxa"/>
            <w:tcBorders>
              <w:top w:val="single" w:sz="5"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474"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2166"/>
          <w:jc w:val="center"/>
        </w:trPr>
        <w:tc>
          <w:tcPr>
            <w:tcW w:w="1617" w:type="dxa"/>
            <w:vMerge/>
            <w:tcBorders>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153" w:type="dxa"/>
            <w:vMerge/>
            <w:tcBorders>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49" w:type="dxa"/>
            <w:vMerge/>
            <w:tcBorders>
              <w:left w:val="single" w:sz="6" w:space="0" w:color="000000"/>
              <w:bottom w:val="single" w:sz="4" w:space="0" w:color="auto"/>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73" w:type="dxa"/>
            <w:tcBorders>
              <w:top w:val="single" w:sz="4" w:space="0" w:color="auto"/>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社会效益显著</w:t>
            </w:r>
          </w:p>
        </w:tc>
        <w:tc>
          <w:tcPr>
            <w:tcW w:w="1566" w:type="dxa"/>
            <w:tcBorders>
              <w:top w:val="single" w:sz="4" w:space="0" w:color="auto"/>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社会效益明显</w:t>
            </w:r>
          </w:p>
        </w:tc>
        <w:tc>
          <w:tcPr>
            <w:tcW w:w="1474" w:type="dxa"/>
            <w:tcBorders>
              <w:top w:val="single" w:sz="4" w:space="0" w:color="auto"/>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ind w:rightChars="-189" w:right="-454"/>
              <w:rPr>
                <w:color w:val="auto"/>
                <w:sz w:val="21"/>
                <w:szCs w:val="21"/>
              </w:rPr>
            </w:pPr>
            <w:r w:rsidRPr="004A57DB">
              <w:rPr>
                <w:rFonts w:hint="eastAsia"/>
                <w:color w:val="auto"/>
                <w:sz w:val="21"/>
                <w:szCs w:val="21"/>
              </w:rPr>
              <w:t>社会效益一般</w:t>
            </w:r>
          </w:p>
        </w:tc>
      </w:tr>
    </w:tbl>
    <w:p w:rsidR="008B378B" w:rsidRPr="004A57DB" w:rsidRDefault="008B378B" w:rsidP="008B378B">
      <w:pPr>
        <w:rPr>
          <w:rFonts w:ascii="黑体" w:eastAsia="黑体" w:cs="仿宋_GB2312"/>
          <w:sz w:val="32"/>
          <w:szCs w:val="32"/>
        </w:rPr>
      </w:pPr>
      <w:r w:rsidRPr="004A57DB">
        <w:rPr>
          <w:rFonts w:ascii="Times New Roman" w:eastAsia="仿宋_GB2312" w:hAnsi="Times New Roman"/>
          <w:kern w:val="2"/>
          <w:sz w:val="28"/>
        </w:rPr>
        <w:br w:type="page"/>
      </w:r>
      <w:r w:rsidRPr="004A57DB">
        <w:rPr>
          <w:rFonts w:ascii="黑体" w:eastAsia="黑体" w:cs="仿宋_GB2312" w:hint="eastAsia"/>
          <w:sz w:val="32"/>
          <w:szCs w:val="32"/>
        </w:rPr>
        <w:lastRenderedPageBreak/>
        <w:t>附表3</w:t>
      </w:r>
    </w:p>
    <w:p w:rsidR="008B378B" w:rsidRPr="004A57DB" w:rsidRDefault="008B378B" w:rsidP="008B378B">
      <w:pPr>
        <w:pStyle w:val="CM2"/>
        <w:spacing w:afterLines="50" w:after="156"/>
        <w:jc w:val="center"/>
        <w:rPr>
          <w:rFonts w:ascii="黑体" w:eastAsia="黑体" w:cs="仿宋_GB2312"/>
          <w:sz w:val="36"/>
          <w:szCs w:val="32"/>
        </w:rPr>
      </w:pPr>
      <w:r w:rsidRPr="004A57DB">
        <w:rPr>
          <w:rFonts w:ascii="黑体" w:eastAsia="黑体" w:cs="仿宋_GB2312" w:hint="eastAsia"/>
          <w:sz w:val="36"/>
          <w:szCs w:val="32"/>
        </w:rPr>
        <w:t>软科学研究成果评价指标成果评价指标</w:t>
      </w:r>
    </w:p>
    <w:tbl>
      <w:tblPr>
        <w:tblW w:w="9481" w:type="dxa"/>
        <w:jc w:val="center"/>
        <w:tblLayout w:type="fixed"/>
        <w:tblLook w:val="0000" w:firstRow="0" w:lastRow="0" w:firstColumn="0" w:lastColumn="0" w:noHBand="0" w:noVBand="0"/>
      </w:tblPr>
      <w:tblGrid>
        <w:gridCol w:w="1587"/>
        <w:gridCol w:w="3094"/>
        <w:gridCol w:w="735"/>
        <w:gridCol w:w="1642"/>
        <w:gridCol w:w="1211"/>
        <w:gridCol w:w="1212"/>
      </w:tblGrid>
      <w:tr w:rsidR="004A57DB" w:rsidRPr="004A57DB" w:rsidTr="001F4B4C">
        <w:trPr>
          <w:trHeight w:val="361"/>
          <w:jc w:val="center"/>
        </w:trPr>
        <w:tc>
          <w:tcPr>
            <w:tcW w:w="1587" w:type="dxa"/>
            <w:tcBorders>
              <w:top w:val="single" w:sz="6" w:space="0" w:color="000000"/>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量化评价指标</w:t>
            </w:r>
          </w:p>
        </w:tc>
        <w:tc>
          <w:tcPr>
            <w:tcW w:w="3094" w:type="dxa"/>
            <w:tcBorders>
              <w:top w:val="single" w:sz="6" w:space="0" w:color="000000"/>
              <w:left w:val="single" w:sz="6" w:space="0" w:color="000000"/>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指标含义</w:t>
            </w:r>
          </w:p>
        </w:tc>
        <w:tc>
          <w:tcPr>
            <w:tcW w:w="735" w:type="dxa"/>
            <w:tcBorders>
              <w:top w:val="single" w:sz="6" w:space="0" w:color="000000"/>
              <w:left w:val="single" w:sz="6" w:space="0" w:color="000000"/>
              <w:bottom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权重</w:t>
            </w:r>
          </w:p>
        </w:tc>
        <w:tc>
          <w:tcPr>
            <w:tcW w:w="4065" w:type="dxa"/>
            <w:gridSpan w:val="3"/>
            <w:tcBorders>
              <w:top w:val="single" w:sz="6" w:space="0" w:color="000000"/>
              <w:left w:val="single" w:sz="4" w:space="0" w:color="auto"/>
              <w:bottom w:val="single" w:sz="6" w:space="0" w:color="000000"/>
              <w:right w:val="single" w:sz="6" w:space="0" w:color="000000"/>
            </w:tcBorders>
            <w:vAlign w:val="center"/>
          </w:tcPr>
          <w:p w:rsidR="008B378B" w:rsidRPr="004A57DB" w:rsidRDefault="008B378B" w:rsidP="001F4B4C">
            <w:pPr>
              <w:pStyle w:val="Default"/>
              <w:snapToGrid w:val="0"/>
              <w:jc w:val="center"/>
              <w:rPr>
                <w:color w:val="auto"/>
                <w:sz w:val="21"/>
                <w:szCs w:val="21"/>
              </w:rPr>
            </w:pPr>
          </w:p>
        </w:tc>
      </w:tr>
      <w:tr w:rsidR="004A57DB" w:rsidRPr="004A57DB" w:rsidTr="001F4B4C">
        <w:trPr>
          <w:trHeight w:val="334"/>
          <w:jc w:val="center"/>
        </w:trPr>
        <w:tc>
          <w:tcPr>
            <w:tcW w:w="158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创新程度</w:t>
            </w:r>
          </w:p>
        </w:tc>
        <w:tc>
          <w:tcPr>
            <w:tcW w:w="3094"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color w:val="auto"/>
                <w:sz w:val="21"/>
                <w:szCs w:val="21"/>
              </w:rPr>
              <w:t>研究项目在</w:t>
            </w:r>
            <w:r w:rsidRPr="004A57DB">
              <w:rPr>
                <w:rFonts w:hint="eastAsia"/>
                <w:color w:val="auto"/>
                <w:sz w:val="21"/>
                <w:szCs w:val="21"/>
              </w:rPr>
              <w:t>理论</w:t>
            </w:r>
            <w:r w:rsidRPr="004A57DB">
              <w:rPr>
                <w:color w:val="auto"/>
                <w:sz w:val="21"/>
                <w:szCs w:val="21"/>
              </w:rPr>
              <w:t>观点</w:t>
            </w:r>
            <w:r w:rsidRPr="004A57DB">
              <w:rPr>
                <w:rFonts w:hint="eastAsia"/>
                <w:color w:val="auto"/>
                <w:sz w:val="21"/>
                <w:szCs w:val="21"/>
              </w:rPr>
              <w:t>上的创新性，研究</w:t>
            </w:r>
            <w:r w:rsidRPr="004A57DB">
              <w:rPr>
                <w:color w:val="auto"/>
                <w:sz w:val="21"/>
                <w:szCs w:val="21"/>
              </w:rPr>
              <w:t>方法上的创新程度。</w:t>
            </w:r>
          </w:p>
        </w:tc>
        <w:tc>
          <w:tcPr>
            <w:tcW w:w="735"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25</w:t>
            </w:r>
          </w:p>
        </w:tc>
        <w:tc>
          <w:tcPr>
            <w:tcW w:w="1642"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5~23</w:t>
            </w:r>
            <w:r w:rsidRPr="004A57DB">
              <w:rPr>
                <w:rFonts w:hint="eastAsia"/>
                <w:color w:val="auto"/>
                <w:sz w:val="21"/>
                <w:szCs w:val="21"/>
              </w:rPr>
              <w:t>分</w:t>
            </w:r>
          </w:p>
        </w:tc>
        <w:tc>
          <w:tcPr>
            <w:tcW w:w="1211" w:type="dxa"/>
            <w:tcBorders>
              <w:top w:val="single" w:sz="4"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2</w:t>
            </w:r>
            <w:r w:rsidRPr="004A57DB">
              <w:rPr>
                <w:color w:val="auto"/>
                <w:sz w:val="21"/>
                <w:szCs w:val="21"/>
              </w:rPr>
              <w:t>2~15</w:t>
            </w:r>
            <w:r w:rsidRPr="004A57DB">
              <w:rPr>
                <w:rFonts w:hint="eastAsia"/>
                <w:color w:val="auto"/>
                <w:sz w:val="21"/>
                <w:szCs w:val="21"/>
              </w:rPr>
              <w:t>分</w:t>
            </w:r>
          </w:p>
        </w:tc>
        <w:tc>
          <w:tcPr>
            <w:tcW w:w="1212"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14~0</w:t>
            </w:r>
            <w:r w:rsidRPr="004A57DB">
              <w:rPr>
                <w:rFonts w:hint="eastAsia"/>
                <w:color w:val="auto"/>
                <w:sz w:val="21"/>
                <w:szCs w:val="21"/>
              </w:rPr>
              <w:t>分</w:t>
            </w:r>
          </w:p>
        </w:tc>
      </w:tr>
      <w:tr w:rsidR="004A57DB" w:rsidRPr="004A57DB" w:rsidTr="001F4B4C">
        <w:trPr>
          <w:trHeight w:val="1239"/>
          <w:jc w:val="center"/>
        </w:trPr>
        <w:tc>
          <w:tcPr>
            <w:tcW w:w="158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94"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5"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42"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有重大突破或有实质性创新</w:t>
            </w:r>
          </w:p>
        </w:tc>
        <w:tc>
          <w:tcPr>
            <w:tcW w:w="12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有明显突破或创新</w:t>
            </w:r>
          </w:p>
        </w:tc>
        <w:tc>
          <w:tcPr>
            <w:tcW w:w="1212"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创新程度一般</w:t>
            </w:r>
          </w:p>
        </w:tc>
      </w:tr>
      <w:tr w:rsidR="004A57DB" w:rsidRPr="004A57DB" w:rsidTr="001F4B4C">
        <w:trPr>
          <w:trHeight w:val="241"/>
          <w:jc w:val="center"/>
        </w:trPr>
        <w:tc>
          <w:tcPr>
            <w:tcW w:w="158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研究难度与复杂程度</w:t>
            </w:r>
          </w:p>
        </w:tc>
        <w:tc>
          <w:tcPr>
            <w:tcW w:w="3094"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在研究方面的难易程度以及研究成果所应用的项目（问题）的复杂程度。</w:t>
            </w:r>
          </w:p>
        </w:tc>
        <w:tc>
          <w:tcPr>
            <w:tcW w:w="735"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42"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211" w:type="dxa"/>
            <w:tcBorders>
              <w:top w:val="single" w:sz="4"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212"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319"/>
          <w:jc w:val="center"/>
        </w:trPr>
        <w:tc>
          <w:tcPr>
            <w:tcW w:w="158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94" w:type="dxa"/>
            <w:vMerge/>
            <w:tcBorders>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p>
        </w:tc>
        <w:tc>
          <w:tcPr>
            <w:tcW w:w="735"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42"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规模、难度非常大，非常复杂</w:t>
            </w:r>
          </w:p>
        </w:tc>
        <w:tc>
          <w:tcPr>
            <w:tcW w:w="12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规模、难度很大，很复杂</w:t>
            </w:r>
          </w:p>
        </w:tc>
        <w:tc>
          <w:tcPr>
            <w:tcW w:w="1212"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规模、难度，复杂程度一般</w:t>
            </w:r>
          </w:p>
        </w:tc>
      </w:tr>
      <w:tr w:rsidR="004A57DB" w:rsidRPr="004A57DB" w:rsidTr="001F4B4C">
        <w:trPr>
          <w:trHeight w:val="276"/>
          <w:jc w:val="center"/>
        </w:trPr>
        <w:tc>
          <w:tcPr>
            <w:tcW w:w="158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科学价值与学术水平</w:t>
            </w:r>
          </w:p>
        </w:tc>
        <w:tc>
          <w:tcPr>
            <w:tcW w:w="3094"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项目提出的观点、理论、方法的科学价值与学术水平。</w:t>
            </w:r>
          </w:p>
        </w:tc>
        <w:tc>
          <w:tcPr>
            <w:tcW w:w="735"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42"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211" w:type="dxa"/>
            <w:tcBorders>
              <w:top w:val="single" w:sz="4"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212"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878"/>
          <w:jc w:val="center"/>
        </w:trPr>
        <w:tc>
          <w:tcPr>
            <w:tcW w:w="158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94"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5"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42"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科学价值重大，达到同类研究的领先水平</w:t>
            </w:r>
          </w:p>
        </w:tc>
        <w:tc>
          <w:tcPr>
            <w:tcW w:w="12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科学价值明显，达到同类研究的先进水平</w:t>
            </w:r>
          </w:p>
        </w:tc>
        <w:tc>
          <w:tcPr>
            <w:tcW w:w="1212"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科学价值一般，接近同类研究的先进水平</w:t>
            </w:r>
          </w:p>
        </w:tc>
      </w:tr>
      <w:tr w:rsidR="004A57DB" w:rsidRPr="004A57DB" w:rsidTr="001F4B4C">
        <w:trPr>
          <w:trHeight w:val="253"/>
          <w:jc w:val="center"/>
        </w:trPr>
        <w:tc>
          <w:tcPr>
            <w:tcW w:w="158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对决策科学化和管理现代化的影响程度</w:t>
            </w:r>
          </w:p>
        </w:tc>
        <w:tc>
          <w:tcPr>
            <w:tcW w:w="3094"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项目为各级政府部门、各类企事业单位决策提供科学依据、管理现代化发挥作用的影响程度。</w:t>
            </w:r>
          </w:p>
        </w:tc>
        <w:tc>
          <w:tcPr>
            <w:tcW w:w="735"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42"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211" w:type="dxa"/>
            <w:tcBorders>
              <w:top w:val="single" w:sz="4"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212"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413"/>
          <w:jc w:val="center"/>
        </w:trPr>
        <w:tc>
          <w:tcPr>
            <w:tcW w:w="158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94"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5"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42"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影响和作用程度重大</w:t>
            </w:r>
          </w:p>
        </w:tc>
        <w:tc>
          <w:tcPr>
            <w:tcW w:w="12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影响和作用程度明显</w:t>
            </w:r>
          </w:p>
        </w:tc>
        <w:tc>
          <w:tcPr>
            <w:tcW w:w="1212"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影响和作用程度一般</w:t>
            </w:r>
          </w:p>
        </w:tc>
      </w:tr>
      <w:tr w:rsidR="004A57DB" w:rsidRPr="004A57DB" w:rsidTr="001F4B4C">
        <w:trPr>
          <w:trHeight w:val="299"/>
          <w:jc w:val="center"/>
        </w:trPr>
        <w:tc>
          <w:tcPr>
            <w:tcW w:w="158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取得的经济效益和社会效益</w:t>
            </w:r>
          </w:p>
        </w:tc>
        <w:tc>
          <w:tcPr>
            <w:tcW w:w="3094"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应用项目发挥的作用，取得的经济或社会效益。</w:t>
            </w:r>
          </w:p>
        </w:tc>
        <w:tc>
          <w:tcPr>
            <w:tcW w:w="735"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42"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211" w:type="dxa"/>
            <w:tcBorders>
              <w:top w:val="single" w:sz="4"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212"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4A57DB" w:rsidRPr="004A57DB" w:rsidTr="001F4B4C">
        <w:trPr>
          <w:trHeight w:val="1567"/>
          <w:jc w:val="center"/>
        </w:trPr>
        <w:tc>
          <w:tcPr>
            <w:tcW w:w="1587"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94" w:type="dxa"/>
            <w:vMerge/>
            <w:tcBorders>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5" w:type="dxa"/>
            <w:vMerge/>
            <w:tcBorders>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42" w:type="dxa"/>
            <w:tcBorders>
              <w:top w:val="single" w:sz="4" w:space="0" w:color="auto"/>
              <w:left w:val="single" w:sz="4" w:space="0" w:color="auto"/>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经济和社会效益显著</w:t>
            </w:r>
          </w:p>
        </w:tc>
        <w:tc>
          <w:tcPr>
            <w:tcW w:w="1211"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经济和社会效益明显</w:t>
            </w:r>
          </w:p>
        </w:tc>
        <w:tc>
          <w:tcPr>
            <w:tcW w:w="1212" w:type="dxa"/>
            <w:tcBorders>
              <w:top w:val="single" w:sz="4" w:space="0" w:color="auto"/>
              <w:left w:val="single" w:sz="6" w:space="0" w:color="000000"/>
              <w:right w:val="single" w:sz="6" w:space="0" w:color="000000"/>
            </w:tcBorders>
            <w:vAlign w:val="center"/>
          </w:tcPr>
          <w:p w:rsidR="008B378B" w:rsidRPr="004A57DB" w:rsidRDefault="008B378B" w:rsidP="001F4B4C">
            <w:pPr>
              <w:pStyle w:val="Default"/>
              <w:snapToGrid w:val="0"/>
              <w:rPr>
                <w:color w:val="auto"/>
                <w:sz w:val="21"/>
                <w:szCs w:val="21"/>
              </w:rPr>
            </w:pPr>
            <w:r w:rsidRPr="004A57DB">
              <w:rPr>
                <w:rFonts w:hint="eastAsia"/>
                <w:color w:val="auto"/>
                <w:sz w:val="21"/>
                <w:szCs w:val="21"/>
              </w:rPr>
              <w:t>经济和社会效益一般</w:t>
            </w:r>
          </w:p>
        </w:tc>
      </w:tr>
      <w:tr w:rsidR="004A57DB" w:rsidRPr="004A57DB" w:rsidTr="001F4B4C">
        <w:trPr>
          <w:trHeight w:val="368"/>
          <w:jc w:val="center"/>
        </w:trPr>
        <w:tc>
          <w:tcPr>
            <w:tcW w:w="1587"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rPr>
            </w:pPr>
            <w:r w:rsidRPr="004A57DB">
              <w:rPr>
                <w:rFonts w:hint="eastAsia"/>
                <w:color w:val="auto"/>
                <w:sz w:val="21"/>
                <w:szCs w:val="21"/>
              </w:rPr>
              <w:t>与国民经济、社会、科技发展战略的紧密程度</w:t>
            </w:r>
          </w:p>
        </w:tc>
        <w:tc>
          <w:tcPr>
            <w:tcW w:w="3094" w:type="dxa"/>
            <w:vMerge w:val="restart"/>
            <w:tcBorders>
              <w:top w:val="single" w:sz="6" w:space="0" w:color="000000"/>
              <w:left w:val="single" w:sz="6" w:space="0" w:color="000000"/>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项目与国民经济、社会、科技发展需求的某一个方面或多个方面的紧密程度。</w:t>
            </w:r>
          </w:p>
        </w:tc>
        <w:tc>
          <w:tcPr>
            <w:tcW w:w="735" w:type="dxa"/>
            <w:vMerge w:val="restart"/>
            <w:tcBorders>
              <w:top w:val="single" w:sz="6" w:space="0" w:color="000000"/>
              <w:left w:val="single" w:sz="6" w:space="0" w:color="000000"/>
              <w:right w:val="single" w:sz="4" w:space="0" w:color="auto"/>
            </w:tcBorders>
            <w:vAlign w:val="center"/>
          </w:tcPr>
          <w:p w:rsidR="008B378B" w:rsidRPr="004A57DB" w:rsidRDefault="008B378B" w:rsidP="001F4B4C">
            <w:pPr>
              <w:pStyle w:val="Default"/>
              <w:snapToGrid w:val="0"/>
              <w:jc w:val="center"/>
              <w:rPr>
                <w:color w:val="auto"/>
                <w:sz w:val="21"/>
                <w:szCs w:val="21"/>
              </w:rPr>
            </w:pPr>
            <w:r w:rsidRPr="004A57DB">
              <w:rPr>
                <w:rFonts w:hint="eastAsia"/>
                <w:color w:val="auto"/>
                <w:sz w:val="21"/>
                <w:szCs w:val="21"/>
              </w:rPr>
              <w:t>15</w:t>
            </w:r>
          </w:p>
        </w:tc>
        <w:tc>
          <w:tcPr>
            <w:tcW w:w="1642" w:type="dxa"/>
            <w:tcBorders>
              <w:top w:val="single" w:sz="6" w:space="0" w:color="000000"/>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15~13</w:t>
            </w:r>
            <w:r w:rsidRPr="004A57DB">
              <w:rPr>
                <w:rFonts w:hint="eastAsia"/>
                <w:color w:val="auto"/>
                <w:sz w:val="21"/>
                <w:szCs w:val="21"/>
              </w:rPr>
              <w:t>分</w:t>
            </w:r>
          </w:p>
        </w:tc>
        <w:tc>
          <w:tcPr>
            <w:tcW w:w="1211" w:type="dxa"/>
            <w:tcBorders>
              <w:top w:val="single" w:sz="4"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12~9</w:t>
            </w:r>
            <w:r w:rsidRPr="004A57DB">
              <w:rPr>
                <w:rFonts w:hint="eastAsia"/>
                <w:color w:val="auto"/>
                <w:sz w:val="21"/>
                <w:szCs w:val="21"/>
              </w:rPr>
              <w:t>分</w:t>
            </w:r>
          </w:p>
        </w:tc>
        <w:tc>
          <w:tcPr>
            <w:tcW w:w="1212" w:type="dxa"/>
            <w:tcBorders>
              <w:top w:val="single" w:sz="6" w:space="0" w:color="000000"/>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center"/>
              <w:rPr>
                <w:color w:val="auto"/>
                <w:sz w:val="21"/>
                <w:szCs w:val="21"/>
              </w:rPr>
            </w:pPr>
            <w:r w:rsidRPr="004A57DB">
              <w:rPr>
                <w:color w:val="auto"/>
                <w:sz w:val="21"/>
                <w:szCs w:val="21"/>
              </w:rPr>
              <w:t>8~0</w:t>
            </w:r>
            <w:r w:rsidRPr="004A57DB">
              <w:rPr>
                <w:rFonts w:hint="eastAsia"/>
                <w:color w:val="auto"/>
                <w:sz w:val="21"/>
                <w:szCs w:val="21"/>
              </w:rPr>
              <w:t>分</w:t>
            </w:r>
          </w:p>
        </w:tc>
      </w:tr>
      <w:tr w:rsidR="008B378B" w:rsidRPr="004A57DB" w:rsidTr="001F4B4C">
        <w:trPr>
          <w:trHeight w:val="1211"/>
          <w:jc w:val="center"/>
        </w:trPr>
        <w:tc>
          <w:tcPr>
            <w:tcW w:w="1587" w:type="dxa"/>
            <w:vMerge/>
            <w:tcBorders>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3094" w:type="dxa"/>
            <w:vMerge/>
            <w:tcBorders>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p>
        </w:tc>
        <w:tc>
          <w:tcPr>
            <w:tcW w:w="735" w:type="dxa"/>
            <w:vMerge/>
            <w:tcBorders>
              <w:left w:val="single" w:sz="6" w:space="0" w:color="000000"/>
              <w:bottom w:val="single" w:sz="4" w:space="0" w:color="auto"/>
              <w:right w:val="single" w:sz="4" w:space="0" w:color="auto"/>
            </w:tcBorders>
            <w:vAlign w:val="center"/>
          </w:tcPr>
          <w:p w:rsidR="008B378B" w:rsidRPr="004A57DB" w:rsidRDefault="008B378B" w:rsidP="001F4B4C">
            <w:pPr>
              <w:pStyle w:val="Default"/>
              <w:snapToGrid w:val="0"/>
              <w:jc w:val="center"/>
              <w:rPr>
                <w:color w:val="auto"/>
                <w:sz w:val="21"/>
                <w:szCs w:val="21"/>
              </w:rPr>
            </w:pPr>
          </w:p>
        </w:tc>
        <w:tc>
          <w:tcPr>
            <w:tcW w:w="1642" w:type="dxa"/>
            <w:tcBorders>
              <w:top w:val="single" w:sz="4" w:space="0" w:color="auto"/>
              <w:left w:val="single" w:sz="4" w:space="0" w:color="auto"/>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显著紧密</w:t>
            </w:r>
          </w:p>
        </w:tc>
        <w:tc>
          <w:tcPr>
            <w:tcW w:w="1211" w:type="dxa"/>
            <w:tcBorders>
              <w:top w:val="single" w:sz="4" w:space="0" w:color="auto"/>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明显紧密</w:t>
            </w:r>
          </w:p>
        </w:tc>
        <w:tc>
          <w:tcPr>
            <w:tcW w:w="1212" w:type="dxa"/>
            <w:tcBorders>
              <w:top w:val="single" w:sz="4" w:space="0" w:color="auto"/>
              <w:left w:val="single" w:sz="6" w:space="0" w:color="000000"/>
              <w:bottom w:val="single" w:sz="4" w:space="0" w:color="auto"/>
              <w:right w:val="single" w:sz="6" w:space="0" w:color="000000"/>
            </w:tcBorders>
            <w:vAlign w:val="center"/>
          </w:tcPr>
          <w:p w:rsidR="008B378B" w:rsidRPr="004A57DB" w:rsidRDefault="008B378B" w:rsidP="001F4B4C">
            <w:pPr>
              <w:pStyle w:val="Default"/>
              <w:snapToGrid w:val="0"/>
              <w:jc w:val="both"/>
              <w:rPr>
                <w:color w:val="auto"/>
                <w:sz w:val="21"/>
                <w:szCs w:val="21"/>
              </w:rPr>
            </w:pPr>
            <w:r w:rsidRPr="004A57DB">
              <w:rPr>
                <w:rFonts w:hint="eastAsia"/>
                <w:color w:val="auto"/>
                <w:sz w:val="21"/>
                <w:szCs w:val="21"/>
              </w:rPr>
              <w:t>一般紧密</w:t>
            </w:r>
          </w:p>
        </w:tc>
      </w:tr>
    </w:tbl>
    <w:p w:rsidR="008B378B" w:rsidRPr="004A57DB" w:rsidRDefault="008B378B" w:rsidP="008B378B">
      <w:pPr>
        <w:pStyle w:val="a3"/>
        <w:spacing w:line="360" w:lineRule="atLeast"/>
      </w:pPr>
    </w:p>
    <w:p w:rsidR="008B378B" w:rsidRPr="004A57DB" w:rsidRDefault="008B378B">
      <w:pPr>
        <w:pStyle w:val="a3"/>
        <w:spacing w:line="360" w:lineRule="atLeast"/>
        <w:rPr>
          <w:rFonts w:ascii="仿宋" w:eastAsia="仿宋" w:hAnsi="仿宋"/>
          <w:sz w:val="28"/>
          <w:szCs w:val="28"/>
        </w:rPr>
      </w:pPr>
    </w:p>
    <w:sectPr w:rsidR="008B378B" w:rsidRPr="004A57DB" w:rsidSect="00FF4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8BB" w:rsidRDefault="004518BB" w:rsidP="008F4B3A">
      <w:r>
        <w:separator/>
      </w:r>
    </w:p>
  </w:endnote>
  <w:endnote w:type="continuationSeparator" w:id="0">
    <w:p w:rsidR="004518BB" w:rsidRDefault="004518BB" w:rsidP="008F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8BB" w:rsidRDefault="004518BB" w:rsidP="008F4B3A">
      <w:r>
        <w:separator/>
      </w:r>
    </w:p>
  </w:footnote>
  <w:footnote w:type="continuationSeparator" w:id="0">
    <w:p w:rsidR="004518BB" w:rsidRDefault="004518BB" w:rsidP="008F4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600FF3"/>
    <w:rsid w:val="00206995"/>
    <w:rsid w:val="002A18BC"/>
    <w:rsid w:val="002A5B78"/>
    <w:rsid w:val="004518BB"/>
    <w:rsid w:val="004A57DB"/>
    <w:rsid w:val="005148B4"/>
    <w:rsid w:val="0069664D"/>
    <w:rsid w:val="006A0331"/>
    <w:rsid w:val="006A4346"/>
    <w:rsid w:val="00757D38"/>
    <w:rsid w:val="007639F6"/>
    <w:rsid w:val="008B378B"/>
    <w:rsid w:val="008C4556"/>
    <w:rsid w:val="008F4B3A"/>
    <w:rsid w:val="009257BA"/>
    <w:rsid w:val="009652AC"/>
    <w:rsid w:val="00A02820"/>
    <w:rsid w:val="00BB6D87"/>
    <w:rsid w:val="00BF2893"/>
    <w:rsid w:val="00C96E77"/>
    <w:rsid w:val="00D6183B"/>
    <w:rsid w:val="00DC2874"/>
    <w:rsid w:val="00EE115C"/>
    <w:rsid w:val="00F35CB7"/>
    <w:rsid w:val="00F97936"/>
    <w:rsid w:val="00FF452D"/>
    <w:rsid w:val="0DDC1188"/>
    <w:rsid w:val="0E5E5BEC"/>
    <w:rsid w:val="16203467"/>
    <w:rsid w:val="1F49432E"/>
    <w:rsid w:val="29600FF3"/>
    <w:rsid w:val="2AB12C47"/>
    <w:rsid w:val="3706729F"/>
    <w:rsid w:val="46A220D0"/>
    <w:rsid w:val="5E6B562D"/>
    <w:rsid w:val="697B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E12C41-B0DF-4BFA-B1BC-EC537E9A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452D"/>
    <w:rPr>
      <w:rFonts w:asciiTheme="minorEastAsia" w:hAnsiTheme="minorEastAsia" w:cs="Times New Roman"/>
      <w:sz w:val="24"/>
      <w:szCs w:val="24"/>
    </w:rPr>
  </w:style>
  <w:style w:type="paragraph" w:styleId="1">
    <w:name w:val="heading 1"/>
    <w:basedOn w:val="a"/>
    <w:next w:val="a"/>
    <w:qFormat/>
    <w:rsid w:val="00FF452D"/>
    <w:pPr>
      <w:spacing w:beforeAutospacing="1" w:afterAutospacing="1"/>
      <w:outlineLvl w:val="0"/>
    </w:pPr>
    <w:rPr>
      <w:rFonts w:ascii="宋体" w:eastAsia="宋体" w:hAnsi="宋体" w:hint="eastAsia"/>
      <w:b/>
      <w:kern w:val="44"/>
      <w:sz w:val="32"/>
      <w:szCs w:val="48"/>
    </w:rPr>
  </w:style>
  <w:style w:type="paragraph" w:styleId="2">
    <w:name w:val="heading 2"/>
    <w:basedOn w:val="a"/>
    <w:next w:val="a"/>
    <w:unhideWhenUsed/>
    <w:qFormat/>
    <w:rsid w:val="00FF452D"/>
    <w:pPr>
      <w:keepNext/>
      <w:keepLines/>
      <w:spacing w:line="413" w:lineRule="auto"/>
      <w:jc w:val="center"/>
      <w:outlineLvl w:val="1"/>
    </w:pPr>
    <w:rPr>
      <w:rFonts w:ascii="Arial" w:eastAsia="黑体" w:hAnsi="Arial"/>
      <w:b/>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452D"/>
    <w:pPr>
      <w:spacing w:line="270" w:lineRule="atLeast"/>
    </w:pPr>
  </w:style>
  <w:style w:type="character" w:styleId="a4">
    <w:name w:val="Strong"/>
    <w:basedOn w:val="a0"/>
    <w:qFormat/>
    <w:rsid w:val="00FF452D"/>
    <w:rPr>
      <w:b/>
    </w:rPr>
  </w:style>
  <w:style w:type="paragraph" w:customStyle="1" w:styleId="Default">
    <w:name w:val="Default"/>
    <w:rsid w:val="008B378B"/>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CM2">
    <w:name w:val="CM2"/>
    <w:basedOn w:val="Default"/>
    <w:next w:val="Default"/>
    <w:rsid w:val="008B378B"/>
    <w:pPr>
      <w:spacing w:after="463"/>
    </w:pPr>
    <w:rPr>
      <w:rFonts w:cs="Times New Roman"/>
      <w:color w:val="auto"/>
    </w:rPr>
  </w:style>
  <w:style w:type="paragraph" w:styleId="a5">
    <w:name w:val="header"/>
    <w:basedOn w:val="a"/>
    <w:link w:val="a6"/>
    <w:unhideWhenUsed/>
    <w:rsid w:val="008F4B3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F4B3A"/>
    <w:rPr>
      <w:rFonts w:asciiTheme="minorEastAsia" w:hAnsiTheme="minorEastAsia" w:cs="Times New Roman"/>
      <w:sz w:val="18"/>
      <w:szCs w:val="18"/>
    </w:rPr>
  </w:style>
  <w:style w:type="paragraph" w:styleId="a7">
    <w:name w:val="footer"/>
    <w:basedOn w:val="a"/>
    <w:link w:val="a8"/>
    <w:unhideWhenUsed/>
    <w:rsid w:val="008F4B3A"/>
    <w:pPr>
      <w:tabs>
        <w:tab w:val="center" w:pos="4153"/>
        <w:tab w:val="right" w:pos="8306"/>
      </w:tabs>
      <w:snapToGrid w:val="0"/>
    </w:pPr>
    <w:rPr>
      <w:sz w:val="18"/>
      <w:szCs w:val="18"/>
    </w:rPr>
  </w:style>
  <w:style w:type="character" w:customStyle="1" w:styleId="a8">
    <w:name w:val="页脚 字符"/>
    <w:basedOn w:val="a0"/>
    <w:link w:val="a7"/>
    <w:rsid w:val="008F4B3A"/>
    <w:rPr>
      <w:rFonts w:asciiTheme="minorEastAsia" w:hAnsiTheme="minorEastAsia" w:cs="Times New Roman"/>
      <w:sz w:val="18"/>
      <w:szCs w:val="18"/>
    </w:rPr>
  </w:style>
  <w:style w:type="paragraph" w:styleId="a9">
    <w:name w:val="Balloon Text"/>
    <w:basedOn w:val="a"/>
    <w:link w:val="aa"/>
    <w:rsid w:val="005148B4"/>
    <w:rPr>
      <w:sz w:val="18"/>
      <w:szCs w:val="18"/>
    </w:rPr>
  </w:style>
  <w:style w:type="character" w:customStyle="1" w:styleId="aa">
    <w:name w:val="批注框文本 字符"/>
    <w:basedOn w:val="a0"/>
    <w:link w:val="a9"/>
    <w:rsid w:val="005148B4"/>
    <w:rPr>
      <w:rFonts w:asciiTheme="minorEastAsia" w:hAnsi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ljx</cp:lastModifiedBy>
  <cp:revision>5</cp:revision>
  <cp:lastPrinted>2022-07-15T03:30:00Z</cp:lastPrinted>
  <dcterms:created xsi:type="dcterms:W3CDTF">2022-07-14T03:46:00Z</dcterms:created>
  <dcterms:modified xsi:type="dcterms:W3CDTF">2022-07-15T03:31:00Z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